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2D8E4" w14:textId="61D3A029" w:rsidR="00460AA6" w:rsidRPr="00960F5F" w:rsidRDefault="007D4802">
      <w:pPr>
        <w:pStyle w:val="IASBSectionTitle2NonInd"/>
        <w:rPr>
          <w:lang w:val="hr-HR"/>
        </w:rPr>
      </w:pPr>
      <w:bookmarkStart w:id="0" w:name="unique_7"/>
      <w:bookmarkStart w:id="1" w:name="_GoBack"/>
      <w:bookmarkEnd w:id="1"/>
      <w:r w:rsidRPr="00960F5F">
        <w:rPr>
          <w:lang w:val="hr-HR"/>
        </w:rPr>
        <w:t>Izmjene i dopune</w:t>
      </w:r>
      <w:r w:rsidR="00567B48" w:rsidRPr="00960F5F">
        <w:rPr>
          <w:lang w:val="hr-HR"/>
        </w:rPr>
        <w:br/>
      </w:r>
      <w:r w:rsidRPr="00960F5F">
        <w:rPr>
          <w:lang w:val="hr-HR"/>
        </w:rPr>
        <w:t>MSFI-ja</w:t>
      </w:r>
      <w:r w:rsidR="00567B48" w:rsidRPr="00960F5F">
        <w:rPr>
          <w:lang w:val="hr-HR"/>
        </w:rPr>
        <w:t xml:space="preserve"> 1 </w:t>
      </w:r>
      <w:r w:rsidRPr="00960F5F">
        <w:rPr>
          <w:i/>
          <w:lang w:val="hr-HR"/>
        </w:rPr>
        <w:t xml:space="preserve">Prva primjena </w:t>
      </w:r>
      <w:r w:rsidR="009B09EC" w:rsidRPr="00960F5F">
        <w:rPr>
          <w:i/>
          <w:lang w:val="hr-HR"/>
        </w:rPr>
        <w:t>M</w:t>
      </w:r>
      <w:r w:rsidRPr="00960F5F">
        <w:rPr>
          <w:i/>
          <w:lang w:val="hr-HR"/>
        </w:rPr>
        <w:t>eđunarodnih standarda financijskog izvještavanja</w:t>
      </w:r>
      <w:bookmarkEnd w:id="0"/>
    </w:p>
    <w:p w14:paraId="1B378057" w14:textId="77777777" w:rsidR="00460AA6" w:rsidRPr="00960F5F" w:rsidRDefault="00460AA6">
      <w:pPr>
        <w:pStyle w:val="IASBNormalnpara"/>
        <w:rPr>
          <w:lang w:val="hr-HR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60AA6" w:rsidRPr="00EA7132" w14:paraId="217EF2C8" w14:textId="77777777">
        <w:tc>
          <w:tcPr>
            <w:tcW w:w="50" w:type="pct"/>
            <w:tcBorders>
              <w:bottom w:val="single" w:sz="0" w:space="0" w:color="auto"/>
              <w:right w:val="single" w:sz="0" w:space="0" w:color="auto"/>
            </w:tcBorders>
          </w:tcPr>
          <w:p w14:paraId="3B435775" w14:textId="6166AD9C" w:rsidR="00460AA6" w:rsidRPr="00960F5F" w:rsidRDefault="007D4802">
            <w:pPr>
              <w:pStyle w:val="IASBTableArial"/>
              <w:rPr>
                <w:lang w:val="hr-HR"/>
              </w:rPr>
            </w:pPr>
            <w:r w:rsidRPr="00960F5F">
              <w:rPr>
                <w:lang w:val="hr-HR"/>
              </w:rPr>
              <w:t>Uvedena je tačka</w:t>
            </w:r>
            <w:r w:rsidR="00567B48" w:rsidRPr="00960F5F">
              <w:rPr>
                <w:lang w:val="hr-HR"/>
              </w:rPr>
              <w:t xml:space="preserve"> 39</w:t>
            </w:r>
            <w:r w:rsidR="00064CDB">
              <w:rPr>
                <w:lang w:val="hr-HR"/>
              </w:rPr>
              <w:t>.</w:t>
            </w:r>
            <w:r w:rsidR="00567B48" w:rsidRPr="00960F5F">
              <w:rPr>
                <w:lang w:val="hr-HR"/>
              </w:rPr>
              <w:t>AK</w:t>
            </w:r>
            <w:r w:rsidRPr="00960F5F">
              <w:rPr>
                <w:lang w:val="hr-HR"/>
              </w:rPr>
              <w:t>.</w:t>
            </w:r>
            <w:r w:rsidR="00567B48" w:rsidRPr="00960F5F">
              <w:rPr>
                <w:lang w:val="hr-HR"/>
              </w:rPr>
              <w:t xml:space="preserve"> </w:t>
            </w:r>
            <w:r w:rsidR="00064CDB">
              <w:rPr>
                <w:lang w:val="hr-HR"/>
              </w:rPr>
              <w:t>Ona</w:t>
            </w:r>
            <w:r w:rsidRPr="00960F5F">
              <w:rPr>
                <w:lang w:val="hr-HR"/>
              </w:rPr>
              <w:t xml:space="preserve"> nije podvučena zbog </w:t>
            </w:r>
            <w:r w:rsidR="00064CDB">
              <w:rPr>
                <w:lang w:val="hr-HR"/>
              </w:rPr>
              <w:t xml:space="preserve">bolje </w:t>
            </w:r>
            <w:r w:rsidRPr="00960F5F">
              <w:rPr>
                <w:lang w:val="hr-HR"/>
              </w:rPr>
              <w:t xml:space="preserve">preglednosti. </w:t>
            </w:r>
          </w:p>
        </w:tc>
      </w:tr>
    </w:tbl>
    <w:p w14:paraId="1E349CE1" w14:textId="77777777" w:rsidR="00460AA6" w:rsidRPr="00960F5F" w:rsidRDefault="00460AA6">
      <w:pPr>
        <w:pStyle w:val="IASBNormalnpara"/>
        <w:rPr>
          <w:lang w:val="hr-HR"/>
        </w:rPr>
      </w:pPr>
    </w:p>
    <w:p w14:paraId="63731C62" w14:textId="7D540D13" w:rsidR="00460AA6" w:rsidRPr="00960F5F" w:rsidRDefault="007D4802">
      <w:pPr>
        <w:pStyle w:val="IASBSectionTitle1NonInd"/>
        <w:rPr>
          <w:lang w:val="hr-HR"/>
        </w:rPr>
      </w:pPr>
      <w:r w:rsidRPr="00960F5F">
        <w:rPr>
          <w:lang w:val="hr-HR"/>
        </w:rPr>
        <w:t>Datum stupanja na snagu</w:t>
      </w:r>
    </w:p>
    <w:p w14:paraId="5214C1BA" w14:textId="77777777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ab/>
        <w:t>...</w:t>
      </w:r>
    </w:p>
    <w:p w14:paraId="0158EC84" w14:textId="094B85BD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>39</w:t>
      </w:r>
      <w:r w:rsidR="00064CDB">
        <w:rPr>
          <w:lang w:val="hr-HR"/>
        </w:rPr>
        <w:t>.</w:t>
      </w:r>
      <w:r w:rsidRPr="00960F5F">
        <w:rPr>
          <w:lang w:val="hr-HR"/>
        </w:rPr>
        <w:t>AK</w:t>
      </w:r>
      <w:r w:rsidRPr="00960F5F">
        <w:rPr>
          <w:lang w:val="hr-HR"/>
        </w:rPr>
        <w:tab/>
      </w:r>
      <w:r w:rsidR="00064CDB">
        <w:rPr>
          <w:lang w:val="hr-HR"/>
        </w:rPr>
        <w:t xml:space="preserve">Odredbama </w:t>
      </w:r>
      <w:r w:rsidR="001A0D72" w:rsidRPr="001A0D72">
        <w:rPr>
          <w:i/>
          <w:iCs/>
          <w:lang w:val="hr-HR"/>
        </w:rPr>
        <w:t>G</w:t>
      </w:r>
      <w:r w:rsidR="009B09EC" w:rsidRPr="001A0D72">
        <w:rPr>
          <w:i/>
          <w:iCs/>
          <w:lang w:val="hr-HR"/>
        </w:rPr>
        <w:t>odišnjih unapređenja IFRS računovodstvenih standarda</w:t>
      </w:r>
      <w:r w:rsidR="001A0D72" w:rsidRPr="001A0D72">
        <w:rPr>
          <w:i/>
          <w:iCs/>
          <w:lang w:val="hr-HR"/>
        </w:rPr>
        <w:t>, Dio 11</w:t>
      </w:r>
      <w:r w:rsidR="009B09EC" w:rsidRPr="00960F5F">
        <w:rPr>
          <w:lang w:val="hr-HR"/>
        </w:rPr>
        <w:t>, izda</w:t>
      </w:r>
      <w:r w:rsidR="00064CDB">
        <w:rPr>
          <w:lang w:val="hr-HR"/>
        </w:rPr>
        <w:t>n</w:t>
      </w:r>
      <w:r w:rsidR="009B09EC" w:rsidRPr="00960F5F">
        <w:rPr>
          <w:lang w:val="hr-HR"/>
        </w:rPr>
        <w:t>i</w:t>
      </w:r>
      <w:r w:rsidR="001A0D72">
        <w:rPr>
          <w:lang w:val="hr-HR"/>
        </w:rPr>
        <w:t>h</w:t>
      </w:r>
      <w:r w:rsidR="009B09EC" w:rsidRPr="00960F5F">
        <w:rPr>
          <w:lang w:val="hr-HR"/>
        </w:rPr>
        <w:t xml:space="preserve"> u srpnju 2024. godine, izvršene su izmjene i dopune t</w:t>
      </w:r>
      <w:r w:rsidR="00064CDB">
        <w:rPr>
          <w:lang w:val="hr-HR"/>
        </w:rPr>
        <w:t>o</w:t>
      </w:r>
      <w:r w:rsidR="009B09EC" w:rsidRPr="00960F5F">
        <w:rPr>
          <w:lang w:val="hr-HR"/>
        </w:rPr>
        <w:t xml:space="preserve">čaka B5. i B6. Subjekt treba primijeniti te izmjene i dopune za godišnja razdoblja koja počinju 1. siječnja 2026. godine ili kasnije. Dopuštena je i njihova ranija primjena. Ako </w:t>
      </w:r>
      <w:r w:rsidR="00064CDB">
        <w:rPr>
          <w:lang w:val="hr-HR"/>
        </w:rPr>
        <w:t>s</w:t>
      </w:r>
      <w:r w:rsidR="009B09EC" w:rsidRPr="00960F5F">
        <w:rPr>
          <w:lang w:val="hr-HR"/>
        </w:rPr>
        <w:t xml:space="preserve">ubjekt </w:t>
      </w:r>
      <w:r w:rsidR="00064CDB">
        <w:rPr>
          <w:lang w:val="hr-HR"/>
        </w:rPr>
        <w:t>primjenjuje</w:t>
      </w:r>
      <w:r w:rsidR="009B09EC" w:rsidRPr="00960F5F">
        <w:rPr>
          <w:lang w:val="hr-HR"/>
        </w:rPr>
        <w:t xml:space="preserve"> izmjene i dopune </w:t>
      </w:r>
      <w:r w:rsidR="00064CDB">
        <w:rPr>
          <w:lang w:val="hr-HR"/>
        </w:rPr>
        <w:t>na</w:t>
      </w:r>
      <w:r w:rsidR="009B09EC" w:rsidRPr="00960F5F">
        <w:rPr>
          <w:lang w:val="hr-HR"/>
        </w:rPr>
        <w:t xml:space="preserve"> ranije razdoblje, treba objaviti tu činjenicu.</w:t>
      </w:r>
    </w:p>
    <w:p w14:paraId="4B7645AA" w14:textId="77777777" w:rsidR="00460AA6" w:rsidRPr="00960F5F" w:rsidRDefault="00460AA6">
      <w:pPr>
        <w:pStyle w:val="SectionEnd"/>
        <w:rPr>
          <w:lang w:val="hr-HR"/>
        </w:rPr>
        <w:sectPr w:rsidR="00460AA6" w:rsidRPr="00960F5F">
          <w:headerReference w:type="even" r:id="rId11"/>
          <w:headerReference w:type="default" r:id="rId12"/>
          <w:footerReference w:type="even" r:id="rId13"/>
          <w:footerReference w:type="default" r:id="rId14"/>
          <w:pgSz w:w="11895" w:h="16834"/>
          <w:pgMar w:top="1440" w:right="1440" w:bottom="1440" w:left="1440" w:header="720" w:footer="720" w:gutter="0"/>
          <w:cols w:space="720"/>
        </w:sectPr>
      </w:pPr>
    </w:p>
    <w:p w14:paraId="135B7011" w14:textId="327A6E2A" w:rsidR="00460AA6" w:rsidRPr="00960F5F" w:rsidRDefault="008021E0">
      <w:pPr>
        <w:pStyle w:val="IASBSectionTitle2NonInd"/>
        <w:rPr>
          <w:lang w:val="hr-HR"/>
        </w:rPr>
      </w:pPr>
      <w:bookmarkStart w:id="2" w:name="unique_16"/>
      <w:r w:rsidRPr="00960F5F">
        <w:rPr>
          <w:lang w:val="hr-HR"/>
        </w:rPr>
        <w:lastRenderedPageBreak/>
        <w:t>Dodatak</w:t>
      </w:r>
      <w:r w:rsidR="00567B48" w:rsidRPr="00960F5F">
        <w:rPr>
          <w:lang w:val="hr-HR"/>
        </w:rPr>
        <w:t xml:space="preserve"> B</w:t>
      </w:r>
      <w:r w:rsidR="00567B48" w:rsidRPr="00960F5F">
        <w:rPr>
          <w:lang w:val="hr-HR"/>
        </w:rPr>
        <w:br/>
      </w:r>
      <w:r w:rsidR="00960F5F">
        <w:rPr>
          <w:lang w:val="hr-HR"/>
        </w:rPr>
        <w:t xml:space="preserve">Izuzeća od retroaktivne primjene drugih MSFI-jeva </w:t>
      </w:r>
      <w:bookmarkEnd w:id="2"/>
    </w:p>
    <w:p w14:paraId="35E6EAEF" w14:textId="77777777" w:rsidR="00460AA6" w:rsidRPr="00960F5F" w:rsidRDefault="00460AA6">
      <w:pPr>
        <w:pStyle w:val="IASBNormalnpara"/>
        <w:rPr>
          <w:lang w:val="hr-HR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60AA6" w:rsidRPr="00EA7132" w14:paraId="1459F2E3" w14:textId="77777777">
        <w:tc>
          <w:tcPr>
            <w:tcW w:w="50" w:type="pct"/>
            <w:tcBorders>
              <w:bottom w:val="single" w:sz="0" w:space="0" w:color="auto"/>
              <w:right w:val="single" w:sz="0" w:space="0" w:color="auto"/>
            </w:tcBorders>
          </w:tcPr>
          <w:p w14:paraId="76CF937C" w14:textId="34FAD0EE" w:rsidR="00460AA6" w:rsidRPr="00960F5F" w:rsidRDefault="00960F5F">
            <w:pPr>
              <w:pStyle w:val="IASBTableArial"/>
              <w:rPr>
                <w:lang w:val="hr-HR"/>
              </w:rPr>
            </w:pPr>
            <w:r>
              <w:rPr>
                <w:lang w:val="hr-HR"/>
              </w:rPr>
              <w:t>Izvršene su izmjene i dopune t</w:t>
            </w:r>
            <w:r w:rsidR="00064CDB">
              <w:rPr>
                <w:lang w:val="hr-HR"/>
              </w:rPr>
              <w:t>o</w:t>
            </w:r>
            <w:r>
              <w:rPr>
                <w:lang w:val="hr-HR"/>
              </w:rPr>
              <w:t xml:space="preserve">čaka B5. i B6. Novi tekst je podvučen a brisani precrtan. </w:t>
            </w:r>
          </w:p>
        </w:tc>
      </w:tr>
    </w:tbl>
    <w:p w14:paraId="59C7A53C" w14:textId="77777777" w:rsidR="00460AA6" w:rsidRPr="00960F5F" w:rsidRDefault="00460AA6">
      <w:pPr>
        <w:pStyle w:val="IASBNormalnpara"/>
        <w:rPr>
          <w:lang w:val="hr-HR"/>
        </w:rPr>
      </w:pPr>
    </w:p>
    <w:p w14:paraId="5B1AE688" w14:textId="7FA1E6D1" w:rsidR="00460AA6" w:rsidRPr="00960F5F" w:rsidRDefault="00960F5F">
      <w:pPr>
        <w:pStyle w:val="IASBSectionTitle2Ind"/>
        <w:rPr>
          <w:lang w:val="hr-HR"/>
        </w:rPr>
      </w:pPr>
      <w:r>
        <w:rPr>
          <w:lang w:val="hr-HR"/>
        </w:rPr>
        <w:t xml:space="preserve">Računovodstvo zaštite </w:t>
      </w:r>
    </w:p>
    <w:p w14:paraId="320AD349" w14:textId="77777777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ab/>
        <w:t>...</w:t>
      </w:r>
    </w:p>
    <w:p w14:paraId="6458763A" w14:textId="6D1F7D97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>B5</w:t>
      </w:r>
      <w:r w:rsidR="00960F5F">
        <w:rPr>
          <w:lang w:val="hr-HR"/>
        </w:rPr>
        <w:t>.</w:t>
      </w:r>
      <w:r w:rsidRPr="00960F5F">
        <w:rPr>
          <w:lang w:val="hr-HR"/>
        </w:rPr>
        <w:tab/>
      </w:r>
      <w:r w:rsidR="00960F5F">
        <w:rPr>
          <w:lang w:val="hr-HR"/>
        </w:rPr>
        <w:t>Subjekt u svo</w:t>
      </w:r>
      <w:r w:rsidR="00064CDB">
        <w:rPr>
          <w:lang w:val="hr-HR"/>
        </w:rPr>
        <w:t>jem</w:t>
      </w:r>
      <w:r w:rsidR="00960F5F">
        <w:rPr>
          <w:lang w:val="hr-HR"/>
        </w:rPr>
        <w:t xml:space="preserve"> početnom izvj</w:t>
      </w:r>
      <w:r w:rsidR="00715707">
        <w:rPr>
          <w:lang w:val="hr-HR"/>
        </w:rPr>
        <w:t>e</w:t>
      </w:r>
      <w:r w:rsidR="00960F5F">
        <w:rPr>
          <w:lang w:val="hr-HR"/>
        </w:rPr>
        <w:t>štaju o financijskom položaju po MSFI-jevima ne prikazuje odnos zaštite koji ne ispunjava uvje</w:t>
      </w:r>
      <w:r w:rsidR="00715707">
        <w:rPr>
          <w:lang w:val="hr-HR"/>
        </w:rPr>
        <w:t>t</w:t>
      </w:r>
      <w:r w:rsidR="00960F5F">
        <w:rPr>
          <w:lang w:val="hr-HR"/>
        </w:rPr>
        <w:t>e za računovodstvo zaštite po M</w:t>
      </w:r>
      <w:r w:rsidR="00715707">
        <w:rPr>
          <w:lang w:val="hr-HR"/>
        </w:rPr>
        <w:t>SFI</w:t>
      </w:r>
      <w:r w:rsidR="00960F5F">
        <w:rPr>
          <w:lang w:val="hr-HR"/>
        </w:rPr>
        <w:t>-</w:t>
      </w:r>
      <w:r w:rsidR="00715707">
        <w:rPr>
          <w:lang w:val="hr-HR"/>
        </w:rPr>
        <w:t>j</w:t>
      </w:r>
      <w:r w:rsidR="00960F5F">
        <w:rPr>
          <w:lang w:val="hr-HR"/>
        </w:rPr>
        <w:t xml:space="preserve">u 9 (primjerice, mnogi odnosi zaštite u kojima je instrument zaštite </w:t>
      </w:r>
      <w:r w:rsidR="00715707">
        <w:rPr>
          <w:lang w:val="hr-HR"/>
        </w:rPr>
        <w:t>samostalna pisana</w:t>
      </w:r>
      <w:r w:rsidR="00960F5F">
        <w:rPr>
          <w:lang w:val="hr-HR"/>
        </w:rPr>
        <w:t xml:space="preserve"> opcija</w:t>
      </w:r>
      <w:r w:rsidR="00715707">
        <w:rPr>
          <w:lang w:val="hr-HR"/>
        </w:rPr>
        <w:t xml:space="preserve"> ili neto pisana opcija, odnosno</w:t>
      </w:r>
      <w:r w:rsidR="00960F5F">
        <w:rPr>
          <w:lang w:val="hr-HR"/>
        </w:rPr>
        <w:t xml:space="preserve"> </w:t>
      </w:r>
      <w:r w:rsidR="00715707">
        <w:rPr>
          <w:lang w:val="hr-HR"/>
        </w:rPr>
        <w:t xml:space="preserve">kada je </w:t>
      </w:r>
      <w:r w:rsidR="00960F5F">
        <w:rPr>
          <w:lang w:val="hr-HR"/>
        </w:rPr>
        <w:t xml:space="preserve">zaštićena stavka neto pozicija </w:t>
      </w:r>
      <w:r w:rsidR="00715707">
        <w:rPr>
          <w:lang w:val="hr-HR"/>
        </w:rPr>
        <w:t>u zaštiti gotovinskog toka od rizika koji nije valutni rizik)</w:t>
      </w:r>
      <w:r w:rsidR="00715707" w:rsidRPr="00715707">
        <w:rPr>
          <w:u w:val="single"/>
          <w:lang w:val="hr-HR"/>
        </w:rPr>
        <w:t xml:space="preserve"> (vidjeti podt</w:t>
      </w:r>
      <w:r w:rsidR="00064CDB">
        <w:rPr>
          <w:u w:val="single"/>
          <w:lang w:val="hr-HR"/>
        </w:rPr>
        <w:t>o</w:t>
      </w:r>
      <w:r w:rsidR="00715707" w:rsidRPr="00715707">
        <w:rPr>
          <w:u w:val="single"/>
          <w:lang w:val="hr-HR"/>
        </w:rPr>
        <w:t>čku a. t</w:t>
      </w:r>
      <w:r w:rsidR="00064CDB">
        <w:rPr>
          <w:u w:val="single"/>
          <w:lang w:val="hr-HR"/>
        </w:rPr>
        <w:t>o</w:t>
      </w:r>
      <w:r w:rsidR="00715707" w:rsidRPr="00715707">
        <w:rPr>
          <w:u w:val="single"/>
          <w:lang w:val="hr-HR"/>
        </w:rPr>
        <w:t>čke 6.4.1 MSFI-ja 9</w:t>
      </w:r>
      <w:r w:rsidR="00960F5F" w:rsidRPr="00715707">
        <w:rPr>
          <w:u w:val="single"/>
          <w:lang w:val="hr-HR"/>
        </w:rPr>
        <w:t>)</w:t>
      </w:r>
      <w:r w:rsidR="00960F5F">
        <w:rPr>
          <w:lang w:val="hr-HR"/>
        </w:rPr>
        <w:t>. Međutim, ako je subjekt kao zaštićenu stavku po prethodnim općeprihvaćenim računovodstvenim načelima odredio neto poziciju, može</w:t>
      </w:r>
      <w:r w:rsidR="00064CDB">
        <w:rPr>
          <w:lang w:val="hr-HR"/>
        </w:rPr>
        <w:t xml:space="preserve"> pojedinačnu stavku unutar neto pozicije ili neku neto poziciju koja zadovoljava uvjete iz točke 6.6.1. MSFI-ja 9 odrediti kao </w:t>
      </w:r>
      <w:r w:rsidR="00715707">
        <w:rPr>
          <w:lang w:val="hr-HR"/>
        </w:rPr>
        <w:t xml:space="preserve">zaštićenu stavku </w:t>
      </w:r>
      <w:r w:rsidR="00064CDB">
        <w:rPr>
          <w:lang w:val="hr-HR"/>
        </w:rPr>
        <w:t xml:space="preserve">po MSFI-jevima, </w:t>
      </w:r>
      <w:r w:rsidR="00960F5F">
        <w:rPr>
          <w:lang w:val="hr-HR"/>
        </w:rPr>
        <w:t xml:space="preserve">uz uvjet da to učini najkasnije s danom prijelaza na MSFI-jeve. </w:t>
      </w:r>
    </w:p>
    <w:p w14:paraId="30BC7FB0" w14:textId="52DD78A1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>B6</w:t>
      </w:r>
      <w:r w:rsidR="00960F5F">
        <w:rPr>
          <w:lang w:val="hr-HR"/>
        </w:rPr>
        <w:t>.</w:t>
      </w:r>
      <w:r w:rsidRPr="00960F5F">
        <w:rPr>
          <w:lang w:val="hr-HR"/>
        </w:rPr>
        <w:tab/>
      </w:r>
      <w:r w:rsidR="00960F5F">
        <w:rPr>
          <w:lang w:val="hr-HR"/>
        </w:rPr>
        <w:t xml:space="preserve">Ako je subjekt prije datuma prijelaza na MSFI-jeve neku transakciju odredio za zaštitu, ali zaštita ne udovoljava </w:t>
      </w:r>
      <w:r w:rsidR="00960F5F" w:rsidRPr="00B57D03">
        <w:rPr>
          <w:strike/>
          <w:lang w:val="hr-HR"/>
        </w:rPr>
        <w:t>uvjetima</w:t>
      </w:r>
      <w:r w:rsidR="0008089D" w:rsidRPr="00B57D03">
        <w:rPr>
          <w:strike/>
          <w:lang w:val="hr-HR"/>
        </w:rPr>
        <w:t xml:space="preserve"> </w:t>
      </w:r>
      <w:r w:rsidR="00B57D03">
        <w:rPr>
          <w:u w:val="single"/>
          <w:lang w:val="hr-HR"/>
        </w:rPr>
        <w:t xml:space="preserve">kriterijima </w:t>
      </w:r>
      <w:r w:rsidR="0008089D" w:rsidRPr="0008089D">
        <w:rPr>
          <w:u w:val="single"/>
          <w:lang w:val="hr-HR"/>
        </w:rPr>
        <w:t>za primjenu</w:t>
      </w:r>
      <w:r w:rsidR="00960F5F" w:rsidRPr="0008089D">
        <w:rPr>
          <w:u w:val="single"/>
          <w:lang w:val="hr-HR"/>
        </w:rPr>
        <w:t xml:space="preserve"> </w:t>
      </w:r>
      <w:r w:rsidR="00960F5F">
        <w:rPr>
          <w:lang w:val="hr-HR"/>
        </w:rPr>
        <w:t xml:space="preserve">računovodstva zaštite iz </w:t>
      </w:r>
      <w:r w:rsidR="0008089D" w:rsidRPr="0008089D">
        <w:rPr>
          <w:u w:val="single"/>
          <w:lang w:val="hr-HR"/>
        </w:rPr>
        <w:t>podt</w:t>
      </w:r>
      <w:r w:rsidR="00064CDB">
        <w:rPr>
          <w:u w:val="single"/>
          <w:lang w:val="hr-HR"/>
        </w:rPr>
        <w:t>o</w:t>
      </w:r>
      <w:r w:rsidR="0008089D" w:rsidRPr="0008089D">
        <w:rPr>
          <w:u w:val="single"/>
          <w:lang w:val="hr-HR"/>
        </w:rPr>
        <w:t>čaka (b) i (c) t</w:t>
      </w:r>
      <w:r w:rsidR="00064CDB">
        <w:rPr>
          <w:u w:val="single"/>
          <w:lang w:val="hr-HR"/>
        </w:rPr>
        <w:t>o</w:t>
      </w:r>
      <w:r w:rsidR="0008089D" w:rsidRPr="0008089D">
        <w:rPr>
          <w:u w:val="single"/>
          <w:lang w:val="hr-HR"/>
        </w:rPr>
        <w:t xml:space="preserve">čke 6.4.1 </w:t>
      </w:r>
      <w:r w:rsidR="00960F5F">
        <w:rPr>
          <w:lang w:val="hr-HR"/>
        </w:rPr>
        <w:t>M</w:t>
      </w:r>
      <w:r w:rsidR="0008089D">
        <w:rPr>
          <w:lang w:val="hr-HR"/>
        </w:rPr>
        <w:t>SFI</w:t>
      </w:r>
      <w:r w:rsidR="00960F5F">
        <w:rPr>
          <w:lang w:val="hr-HR"/>
        </w:rPr>
        <w:t>-</w:t>
      </w:r>
      <w:r w:rsidR="0008089D">
        <w:rPr>
          <w:lang w:val="hr-HR"/>
        </w:rPr>
        <w:t>j</w:t>
      </w:r>
      <w:r w:rsidR="00960F5F">
        <w:rPr>
          <w:lang w:val="hr-HR"/>
        </w:rPr>
        <w:t xml:space="preserve">a 9, onda primjenjuje </w:t>
      </w:r>
      <w:r w:rsidR="0008089D">
        <w:rPr>
          <w:lang w:val="hr-HR"/>
        </w:rPr>
        <w:t>t</w:t>
      </w:r>
      <w:r w:rsidR="00064CDB">
        <w:rPr>
          <w:lang w:val="hr-HR"/>
        </w:rPr>
        <w:t>očke</w:t>
      </w:r>
      <w:r w:rsidR="0008089D">
        <w:rPr>
          <w:lang w:val="hr-HR"/>
        </w:rPr>
        <w:t xml:space="preserve"> 6.5.6</w:t>
      </w:r>
      <w:r w:rsidR="00AA7351">
        <w:rPr>
          <w:lang w:val="hr-HR"/>
        </w:rPr>
        <w:t>.</w:t>
      </w:r>
      <w:r w:rsidR="0008089D">
        <w:rPr>
          <w:lang w:val="hr-HR"/>
        </w:rPr>
        <w:t xml:space="preserve"> i 6.5.7</w:t>
      </w:r>
      <w:r w:rsidR="00AA7351">
        <w:rPr>
          <w:lang w:val="hr-HR"/>
        </w:rPr>
        <w:t>.</w:t>
      </w:r>
      <w:r w:rsidR="0008089D">
        <w:rPr>
          <w:lang w:val="hr-HR"/>
        </w:rPr>
        <w:t xml:space="preserve"> MSFI-ja 9</w:t>
      </w:r>
      <w:r w:rsidR="00960F5F">
        <w:rPr>
          <w:lang w:val="hr-HR"/>
        </w:rPr>
        <w:t xml:space="preserve"> za prestanak primjene računovodstva zaštite. Transakcije zaključene prije datuma prijelaza na MSFI-jeve ne određuju se za zaštitu retroaktivno. </w:t>
      </w:r>
    </w:p>
    <w:p w14:paraId="4A7B5D00" w14:textId="5DD887A5" w:rsidR="00460AA6" w:rsidRPr="00960F5F" w:rsidRDefault="00960F5F">
      <w:pPr>
        <w:pStyle w:val="SectionEnd"/>
        <w:rPr>
          <w:lang w:val="hr-HR"/>
        </w:rPr>
        <w:sectPr w:rsidR="00460AA6" w:rsidRPr="00960F5F">
          <w:headerReference w:type="even" r:id="rId15"/>
          <w:headerReference w:type="default" r:id="rId16"/>
          <w:footerReference w:type="even" r:id="rId17"/>
          <w:footerReference w:type="default" r:id="rId18"/>
          <w:pgSz w:w="11895" w:h="16834"/>
          <w:pgMar w:top="1440" w:right="1440" w:bottom="1440" w:left="1440" w:header="720" w:footer="720" w:gutter="0"/>
          <w:cols w:space="720"/>
        </w:sectPr>
      </w:pPr>
      <w:r>
        <w:rPr>
          <w:lang w:val="hr-HR"/>
        </w:rPr>
        <w:t>A</w:t>
      </w:r>
    </w:p>
    <w:p w14:paraId="0A1569D7" w14:textId="27A0A56B" w:rsidR="00460AA6" w:rsidRPr="00960F5F" w:rsidRDefault="008E7BE9">
      <w:pPr>
        <w:pStyle w:val="IASBSectionTitle2NonInd"/>
        <w:rPr>
          <w:lang w:val="hr-HR"/>
        </w:rPr>
      </w:pPr>
      <w:bookmarkStart w:id="3" w:name="unique_8"/>
      <w:r>
        <w:rPr>
          <w:lang w:val="hr-HR"/>
        </w:rPr>
        <w:lastRenderedPageBreak/>
        <w:t xml:space="preserve">Izmjene i dopune </w:t>
      </w:r>
      <w:r w:rsidR="00567B48" w:rsidRPr="00960F5F">
        <w:rPr>
          <w:lang w:val="hr-HR"/>
        </w:rPr>
        <w:br/>
      </w:r>
      <w:r>
        <w:rPr>
          <w:lang w:val="hr-HR"/>
        </w:rPr>
        <w:t>MSFI-ja</w:t>
      </w:r>
      <w:r w:rsidR="00567B48" w:rsidRPr="00960F5F">
        <w:rPr>
          <w:lang w:val="hr-HR"/>
        </w:rPr>
        <w:t xml:space="preserve"> 7 </w:t>
      </w:r>
      <w:r w:rsidR="00567B48" w:rsidRPr="00960F5F">
        <w:rPr>
          <w:i/>
          <w:lang w:val="hr-HR"/>
        </w:rPr>
        <w:t>Finan</w:t>
      </w:r>
      <w:r w:rsidR="000416EE">
        <w:rPr>
          <w:i/>
          <w:lang w:val="hr-HR"/>
        </w:rPr>
        <w:t>s</w:t>
      </w:r>
      <w:r w:rsidR="00567B48" w:rsidRPr="00960F5F">
        <w:rPr>
          <w:i/>
          <w:lang w:val="hr-HR"/>
        </w:rPr>
        <w:t>i</w:t>
      </w:r>
      <w:r>
        <w:rPr>
          <w:i/>
          <w:lang w:val="hr-HR"/>
        </w:rPr>
        <w:t xml:space="preserve">jski instrumenti: Objavljivanja </w:t>
      </w:r>
      <w:bookmarkEnd w:id="3"/>
    </w:p>
    <w:p w14:paraId="728A0FC1" w14:textId="77777777" w:rsidR="00460AA6" w:rsidRPr="00960F5F" w:rsidRDefault="00460AA6">
      <w:pPr>
        <w:pStyle w:val="IASBNormalnpara"/>
        <w:rPr>
          <w:lang w:val="hr-HR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60AA6" w:rsidRPr="00EA7132" w14:paraId="3D9E0624" w14:textId="77777777">
        <w:tc>
          <w:tcPr>
            <w:tcW w:w="50" w:type="pct"/>
            <w:tcBorders>
              <w:bottom w:val="single" w:sz="0" w:space="0" w:color="auto"/>
              <w:right w:val="single" w:sz="0" w:space="0" w:color="auto"/>
            </w:tcBorders>
          </w:tcPr>
          <w:p w14:paraId="358B5739" w14:textId="58F6BCA2" w:rsidR="00460AA6" w:rsidRPr="00960F5F" w:rsidRDefault="008E7BE9">
            <w:pPr>
              <w:pStyle w:val="IASBTableArial"/>
              <w:rPr>
                <w:lang w:val="hr-HR"/>
              </w:rPr>
            </w:pPr>
            <w:r>
              <w:rPr>
                <w:lang w:val="hr-HR"/>
              </w:rPr>
              <w:t xml:space="preserve">Uvedena je tačka </w:t>
            </w:r>
            <w:r w:rsidR="00567B48" w:rsidRPr="00960F5F">
              <w:rPr>
                <w:lang w:val="hr-HR"/>
              </w:rPr>
              <w:t>44</w:t>
            </w:r>
            <w:r w:rsidR="000416EE">
              <w:rPr>
                <w:lang w:val="hr-HR"/>
              </w:rPr>
              <w:t>.</w:t>
            </w:r>
            <w:r w:rsidR="00567B48" w:rsidRPr="00960F5F">
              <w:rPr>
                <w:lang w:val="hr-HR"/>
              </w:rPr>
              <w:t>NN</w:t>
            </w:r>
            <w:r>
              <w:rPr>
                <w:lang w:val="hr-HR"/>
              </w:rPr>
              <w:t>. Ona nije podvučena zbog bolje preglednosti.</w:t>
            </w:r>
          </w:p>
        </w:tc>
      </w:tr>
    </w:tbl>
    <w:p w14:paraId="725E6426" w14:textId="77777777" w:rsidR="00460AA6" w:rsidRPr="00960F5F" w:rsidRDefault="00460AA6">
      <w:pPr>
        <w:pStyle w:val="IASBNormalnpara"/>
        <w:rPr>
          <w:lang w:val="hr-HR"/>
        </w:rPr>
      </w:pPr>
    </w:p>
    <w:p w14:paraId="2A34F42D" w14:textId="09B0593F" w:rsidR="00460AA6" w:rsidRPr="00960F5F" w:rsidRDefault="008E7BE9">
      <w:pPr>
        <w:pStyle w:val="IASBSectionTitle1NonInd"/>
        <w:rPr>
          <w:lang w:val="hr-HR"/>
        </w:rPr>
      </w:pPr>
      <w:bookmarkStart w:id="4" w:name="unique_24"/>
      <w:r>
        <w:rPr>
          <w:lang w:val="hr-HR"/>
        </w:rPr>
        <w:t>Datum stupanja na snagu i prijelazn</w:t>
      </w:r>
      <w:r w:rsidR="00EA7132">
        <w:rPr>
          <w:lang w:val="hr-HR"/>
        </w:rPr>
        <w:t xml:space="preserve">e odredbe </w:t>
      </w:r>
      <w:r>
        <w:rPr>
          <w:lang w:val="hr-HR"/>
        </w:rPr>
        <w:t xml:space="preserve"> </w:t>
      </w:r>
      <w:bookmarkEnd w:id="4"/>
    </w:p>
    <w:p w14:paraId="4C882B41" w14:textId="77777777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ab/>
        <w:t>...</w:t>
      </w:r>
    </w:p>
    <w:p w14:paraId="1EF02C57" w14:textId="72095D75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>44</w:t>
      </w:r>
      <w:r w:rsidR="000416EE">
        <w:rPr>
          <w:lang w:val="hr-HR"/>
        </w:rPr>
        <w:t>.</w:t>
      </w:r>
      <w:r w:rsidRPr="00960F5F">
        <w:rPr>
          <w:lang w:val="hr-HR"/>
        </w:rPr>
        <w:t>NN</w:t>
      </w:r>
      <w:r w:rsidRPr="00960F5F">
        <w:rPr>
          <w:lang w:val="hr-HR"/>
        </w:rPr>
        <w:tab/>
      </w:r>
      <w:r w:rsidR="00EA7132">
        <w:rPr>
          <w:lang w:val="hr-HR"/>
        </w:rPr>
        <w:t xml:space="preserve">Odredbama </w:t>
      </w:r>
      <w:r w:rsidR="00AA7351">
        <w:rPr>
          <w:i/>
          <w:lang w:val="hr-HR"/>
        </w:rPr>
        <w:t>G</w:t>
      </w:r>
      <w:r w:rsidR="00EA7132">
        <w:rPr>
          <w:i/>
          <w:lang w:val="hr-HR"/>
        </w:rPr>
        <w:t>odišnjih unapređenja IFRS računovodstvenih standarda</w:t>
      </w:r>
      <w:r w:rsidR="00AA7351">
        <w:rPr>
          <w:i/>
          <w:lang w:val="hr-HR"/>
        </w:rPr>
        <w:t>, Dio 11</w:t>
      </w:r>
      <w:r w:rsidRPr="00960F5F">
        <w:rPr>
          <w:lang w:val="hr-HR"/>
        </w:rPr>
        <w:t>, i</w:t>
      </w:r>
      <w:r w:rsidR="00EA7132">
        <w:rPr>
          <w:lang w:val="hr-HR"/>
        </w:rPr>
        <w:t>zdatog u julu 2024. godine, izmijenjena je tačka B</w:t>
      </w:r>
      <w:r w:rsidR="000416EE">
        <w:rPr>
          <w:lang w:val="hr-HR"/>
        </w:rPr>
        <w:t>.</w:t>
      </w:r>
      <w:r w:rsidR="00EA7132">
        <w:rPr>
          <w:lang w:val="hr-HR"/>
        </w:rPr>
        <w:t xml:space="preserve">38. Subjekt tu izmjenu treba primjenjivati na godišnje </w:t>
      </w:r>
      <w:r w:rsidR="00AA7351">
        <w:rPr>
          <w:lang w:val="hr-HR"/>
        </w:rPr>
        <w:t xml:space="preserve">izvještajne </w:t>
      </w:r>
      <w:r w:rsidR="00EA7132">
        <w:rPr>
          <w:lang w:val="hr-HR"/>
        </w:rPr>
        <w:t>periode koji počinju 1. januara 2026. godine ili kasnije. Ranija primjena je dozvoljena. Ako subjekt izmjenu primjenjuje na ranij</w:t>
      </w:r>
      <w:r w:rsidR="000416EE">
        <w:rPr>
          <w:lang w:val="hr-HR"/>
        </w:rPr>
        <w:t>i</w:t>
      </w:r>
      <w:r w:rsidR="00EA7132">
        <w:rPr>
          <w:lang w:val="hr-HR"/>
        </w:rPr>
        <w:t xml:space="preserve"> period, treba objaviti tu činjenicu. </w:t>
      </w:r>
    </w:p>
    <w:p w14:paraId="7EE1C345" w14:textId="77777777" w:rsidR="00460AA6" w:rsidRPr="00960F5F" w:rsidRDefault="00460AA6">
      <w:pPr>
        <w:pStyle w:val="SectionEnd"/>
        <w:rPr>
          <w:lang w:val="hr-HR"/>
        </w:rPr>
        <w:sectPr w:rsidR="00460AA6" w:rsidRPr="00960F5F">
          <w:headerReference w:type="even" r:id="rId19"/>
          <w:headerReference w:type="default" r:id="rId20"/>
          <w:footerReference w:type="even" r:id="rId21"/>
          <w:footerReference w:type="default" r:id="rId22"/>
          <w:pgSz w:w="11895" w:h="16834"/>
          <w:pgMar w:top="1440" w:right="1440" w:bottom="1440" w:left="1440" w:header="720" w:footer="720" w:gutter="0"/>
          <w:cols w:space="720"/>
        </w:sectPr>
      </w:pPr>
    </w:p>
    <w:p w14:paraId="360D1AB7" w14:textId="07BBC336" w:rsidR="00460AA6" w:rsidRPr="00960F5F" w:rsidRDefault="00EA7132">
      <w:pPr>
        <w:pStyle w:val="IASBSectionTitle2NonInd"/>
        <w:rPr>
          <w:lang w:val="hr-HR"/>
        </w:rPr>
      </w:pPr>
      <w:bookmarkStart w:id="5" w:name="unique_53"/>
      <w:r>
        <w:rPr>
          <w:lang w:val="hr-HR"/>
        </w:rPr>
        <w:lastRenderedPageBreak/>
        <w:t>Dodatak</w:t>
      </w:r>
      <w:r w:rsidR="00567B48" w:rsidRPr="00960F5F">
        <w:rPr>
          <w:lang w:val="hr-HR"/>
        </w:rPr>
        <w:t xml:space="preserve"> B</w:t>
      </w:r>
      <w:r w:rsidR="00567B48" w:rsidRPr="00960F5F">
        <w:rPr>
          <w:lang w:val="hr-HR"/>
        </w:rPr>
        <w:br/>
      </w:r>
      <w:bookmarkEnd w:id="5"/>
      <w:r>
        <w:rPr>
          <w:lang w:val="hr-HR"/>
        </w:rPr>
        <w:t xml:space="preserve">Uputstvo za primjenu </w:t>
      </w:r>
    </w:p>
    <w:p w14:paraId="2FC6A0A5" w14:textId="77777777" w:rsidR="00460AA6" w:rsidRPr="00960F5F" w:rsidRDefault="00460AA6">
      <w:pPr>
        <w:pStyle w:val="IASBNormalnpara"/>
        <w:rPr>
          <w:lang w:val="hr-HR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60AA6" w:rsidRPr="00960F5F" w14:paraId="0F3319CF" w14:textId="77777777">
        <w:tc>
          <w:tcPr>
            <w:tcW w:w="50" w:type="pct"/>
            <w:tcBorders>
              <w:bottom w:val="single" w:sz="0" w:space="0" w:color="auto"/>
              <w:right w:val="single" w:sz="0" w:space="0" w:color="auto"/>
            </w:tcBorders>
          </w:tcPr>
          <w:p w14:paraId="720D9C53" w14:textId="714FCA64" w:rsidR="00460AA6" w:rsidRPr="00960F5F" w:rsidRDefault="009117C7">
            <w:pPr>
              <w:pStyle w:val="IASBTableArial"/>
              <w:rPr>
                <w:lang w:val="hr-HR"/>
              </w:rPr>
            </w:pPr>
            <w:r>
              <w:rPr>
                <w:lang w:val="hr-HR"/>
              </w:rPr>
              <w:t xml:space="preserve">Izmijenjena je </w:t>
            </w:r>
            <w:r w:rsidR="000416EE">
              <w:rPr>
                <w:lang w:val="hr-HR"/>
              </w:rPr>
              <w:t xml:space="preserve">i dopunjena </w:t>
            </w:r>
            <w:r>
              <w:rPr>
                <w:lang w:val="hr-HR"/>
              </w:rPr>
              <w:t>tačka</w:t>
            </w:r>
            <w:r w:rsidR="00567B48" w:rsidRPr="00960F5F">
              <w:rPr>
                <w:lang w:val="hr-HR"/>
              </w:rPr>
              <w:t xml:space="preserve"> B38</w:t>
            </w:r>
            <w:r>
              <w:rPr>
                <w:lang w:val="hr-HR"/>
              </w:rPr>
              <w:t xml:space="preserve">. Novi tekst je podvučen a brisani precrtan. </w:t>
            </w:r>
          </w:p>
        </w:tc>
      </w:tr>
    </w:tbl>
    <w:p w14:paraId="3671E534" w14:textId="77777777" w:rsidR="00460AA6" w:rsidRPr="00960F5F" w:rsidRDefault="00460AA6">
      <w:pPr>
        <w:pStyle w:val="IASBNormalnpara"/>
        <w:rPr>
          <w:lang w:val="hr-HR"/>
        </w:rPr>
      </w:pPr>
    </w:p>
    <w:p w14:paraId="4A72CEE9" w14:textId="39936CD9" w:rsidR="00460AA6" w:rsidRPr="00960F5F" w:rsidRDefault="009117C7">
      <w:pPr>
        <w:pStyle w:val="IASBSectionTitle1NonInd"/>
        <w:rPr>
          <w:lang w:val="hr-HR"/>
        </w:rPr>
      </w:pPr>
      <w:bookmarkStart w:id="6" w:name="unique_25"/>
      <w:r>
        <w:rPr>
          <w:lang w:val="hr-HR"/>
        </w:rPr>
        <w:t xml:space="preserve">Prestanak priznavanja </w:t>
      </w:r>
      <w:r w:rsidR="00567B48" w:rsidRPr="00960F5F">
        <w:rPr>
          <w:lang w:val="hr-HR"/>
        </w:rPr>
        <w:t>(</w:t>
      </w:r>
      <w:r>
        <w:rPr>
          <w:lang w:val="hr-HR"/>
        </w:rPr>
        <w:t>tačke od</w:t>
      </w:r>
      <w:r w:rsidR="00567B48" w:rsidRPr="00960F5F">
        <w:rPr>
          <w:lang w:val="hr-HR"/>
        </w:rPr>
        <w:t xml:space="preserve"> 42C</w:t>
      </w:r>
      <w:r w:rsidR="000416EE">
        <w:rPr>
          <w:lang w:val="hr-HR"/>
        </w:rPr>
        <w:t>.</w:t>
      </w:r>
      <w:r>
        <w:rPr>
          <w:lang w:val="hr-HR"/>
        </w:rPr>
        <w:t xml:space="preserve"> do </w:t>
      </w:r>
      <w:r w:rsidR="00567B48" w:rsidRPr="00960F5F">
        <w:rPr>
          <w:lang w:val="hr-HR"/>
        </w:rPr>
        <w:t>42H</w:t>
      </w:r>
      <w:r w:rsidR="000416EE">
        <w:rPr>
          <w:lang w:val="hr-HR"/>
        </w:rPr>
        <w:t>.</w:t>
      </w:r>
      <w:r w:rsidR="00567B48" w:rsidRPr="00960F5F">
        <w:rPr>
          <w:lang w:val="hr-HR"/>
        </w:rPr>
        <w:t>)</w:t>
      </w:r>
      <w:bookmarkEnd w:id="6"/>
    </w:p>
    <w:p w14:paraId="3178A460" w14:textId="77777777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ab/>
        <w:t>...</w:t>
      </w:r>
    </w:p>
    <w:p w14:paraId="7C46C7A5" w14:textId="3A9DE43C" w:rsidR="00460AA6" w:rsidRPr="00960F5F" w:rsidRDefault="009117C7">
      <w:pPr>
        <w:pStyle w:val="IASBSectionTitle2Ind"/>
        <w:rPr>
          <w:lang w:val="hr-HR"/>
        </w:rPr>
      </w:pPr>
      <w:bookmarkStart w:id="7" w:name="unique_58"/>
      <w:r>
        <w:rPr>
          <w:lang w:val="hr-HR"/>
        </w:rPr>
        <w:t xml:space="preserve">Dobitak ili gubitak od prestanka priznavanja </w:t>
      </w:r>
      <w:r w:rsidR="00567B48" w:rsidRPr="00960F5F">
        <w:rPr>
          <w:lang w:val="hr-HR"/>
        </w:rPr>
        <w:t>(</w:t>
      </w:r>
      <w:r>
        <w:rPr>
          <w:lang w:val="hr-HR"/>
        </w:rPr>
        <w:t>tačka</w:t>
      </w:r>
      <w:r w:rsidR="00567B48" w:rsidRPr="00960F5F">
        <w:rPr>
          <w:lang w:val="hr-HR"/>
        </w:rPr>
        <w:t xml:space="preserve"> 42</w:t>
      </w:r>
      <w:r>
        <w:rPr>
          <w:lang w:val="hr-HR"/>
        </w:rPr>
        <w:t>.</w:t>
      </w:r>
      <w:r w:rsidR="00567B48" w:rsidRPr="00960F5F">
        <w:rPr>
          <w:lang w:val="hr-HR"/>
        </w:rPr>
        <w:t>G</w:t>
      </w:r>
      <w:r w:rsidR="00092953">
        <w:rPr>
          <w:lang w:val="hr-HR"/>
        </w:rPr>
        <w:t xml:space="preserve"> </w:t>
      </w:r>
      <w:r w:rsidR="00567B48" w:rsidRPr="00960F5F">
        <w:rPr>
          <w:lang w:val="hr-HR"/>
        </w:rPr>
        <w:t>(a))</w:t>
      </w:r>
      <w:bookmarkEnd w:id="7"/>
    </w:p>
    <w:p w14:paraId="4265FDCD" w14:textId="276D57EB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>B38</w:t>
      </w:r>
      <w:r w:rsidR="00092953">
        <w:rPr>
          <w:lang w:val="hr-HR"/>
        </w:rPr>
        <w:t>.</w:t>
      </w:r>
      <w:r w:rsidRPr="00960F5F">
        <w:rPr>
          <w:lang w:val="hr-HR"/>
        </w:rPr>
        <w:tab/>
      </w:r>
      <w:r w:rsidR="00092953">
        <w:rPr>
          <w:lang w:val="hr-HR"/>
        </w:rPr>
        <w:t>Tačkom 42.G (a) se od subjekta zahtijeva da objavi dobitak ili gubitak prestanka priznavanja finansijske imovine s kojom subjekt ima nastavljenu povezanost. Subjekt treba objaviti ako je dobitak ili gubitak od prestanka priznavanja nastao jer su se fer vrijednosti komponenti ranije priznatih sredstava (tj. udjela u imovini koja se prestala priznavati i udjela koji je subjekt zadržao) razlikovale od fer vrijednosti ranije priznatih sredstava u cijelosti. U takvoj situaciji, subjekt treba također objaviti jesu li mjerenja fer vrijednosti uključivala značajne ulazne podatke</w:t>
      </w:r>
      <w:r w:rsidR="009E79E0">
        <w:rPr>
          <w:lang w:val="hr-HR"/>
        </w:rPr>
        <w:t xml:space="preserve"> </w:t>
      </w:r>
      <w:r w:rsidR="00092953" w:rsidRPr="009E79E0">
        <w:rPr>
          <w:lang w:val="hr-HR"/>
        </w:rPr>
        <w:t xml:space="preserve"> koji nisu bili </w:t>
      </w:r>
      <w:r w:rsidR="009E79E0" w:rsidRPr="009E79E0">
        <w:rPr>
          <w:u w:val="single"/>
          <w:lang w:val="hr-HR"/>
        </w:rPr>
        <w:t>vidljivi</w:t>
      </w:r>
      <w:r w:rsidR="00092953" w:rsidRPr="00092953">
        <w:rPr>
          <w:strike/>
          <w:lang w:val="hr-HR"/>
        </w:rPr>
        <w:t>zasnovani na uočljivim tržišnim podacima</w:t>
      </w:r>
      <w:r w:rsidR="00092953">
        <w:rPr>
          <w:lang w:val="hr-HR"/>
        </w:rPr>
        <w:t>, na način opisan u</w:t>
      </w:r>
      <w:r w:rsidR="00092953" w:rsidRPr="00092953">
        <w:rPr>
          <w:u w:val="single"/>
          <w:lang w:val="hr-HR"/>
        </w:rPr>
        <w:t xml:space="preserve"> tačkama 72. i 73. MSFI-ja 13</w:t>
      </w:r>
      <w:r w:rsidR="00092953" w:rsidRPr="00092953">
        <w:rPr>
          <w:strike/>
          <w:lang w:val="hr-HR"/>
        </w:rPr>
        <w:t>tački 27.A</w:t>
      </w:r>
      <w:r w:rsidRPr="00960F5F">
        <w:rPr>
          <w:lang w:val="hr-HR"/>
        </w:rPr>
        <w:t>.</w:t>
      </w:r>
    </w:p>
    <w:p w14:paraId="5DC67ADC" w14:textId="77777777" w:rsidR="00460AA6" w:rsidRPr="00960F5F" w:rsidRDefault="00460AA6">
      <w:pPr>
        <w:pStyle w:val="SectionEnd"/>
        <w:rPr>
          <w:lang w:val="hr-HR"/>
        </w:rPr>
        <w:sectPr w:rsidR="00460AA6" w:rsidRPr="00960F5F">
          <w:headerReference w:type="even" r:id="rId23"/>
          <w:headerReference w:type="default" r:id="rId24"/>
          <w:footerReference w:type="even" r:id="rId25"/>
          <w:footerReference w:type="default" r:id="rId26"/>
          <w:pgSz w:w="11895" w:h="16834"/>
          <w:pgMar w:top="1440" w:right="1440" w:bottom="1440" w:left="1440" w:header="720" w:footer="720" w:gutter="0"/>
          <w:cols w:space="720"/>
        </w:sectPr>
      </w:pPr>
    </w:p>
    <w:p w14:paraId="2B2D3716" w14:textId="52BCB66A" w:rsidR="00460AA6" w:rsidRPr="00FD6C38" w:rsidRDefault="005E2A6E">
      <w:pPr>
        <w:pStyle w:val="IASBSectionTitle2NonInd"/>
        <w:rPr>
          <w:lang w:val="hr-HR"/>
        </w:rPr>
      </w:pPr>
      <w:bookmarkStart w:id="8" w:name="unique_9"/>
      <w:r w:rsidRPr="00FD6C38">
        <w:rPr>
          <w:lang w:val="hr-HR"/>
        </w:rPr>
        <w:lastRenderedPageBreak/>
        <w:t xml:space="preserve">Izmjene i dopune </w:t>
      </w:r>
      <w:r w:rsidR="00567B48" w:rsidRPr="00FD6C38">
        <w:rPr>
          <w:lang w:val="hr-HR"/>
        </w:rPr>
        <w:br/>
      </w:r>
      <w:r w:rsidRPr="00FD6C38">
        <w:rPr>
          <w:lang w:val="hr-HR"/>
        </w:rPr>
        <w:t>MSFI-ja</w:t>
      </w:r>
      <w:r w:rsidR="00567B48" w:rsidRPr="00FD6C38">
        <w:rPr>
          <w:lang w:val="hr-HR"/>
        </w:rPr>
        <w:t xml:space="preserve"> 9 </w:t>
      </w:r>
      <w:r w:rsidR="00567B48" w:rsidRPr="00FD6C38">
        <w:rPr>
          <w:i/>
          <w:lang w:val="hr-HR"/>
        </w:rPr>
        <w:t>Finan</w:t>
      </w:r>
      <w:r w:rsidRPr="00FD6C38">
        <w:rPr>
          <w:i/>
          <w:lang w:val="hr-HR"/>
        </w:rPr>
        <w:t>sijski instrumenti</w:t>
      </w:r>
      <w:bookmarkEnd w:id="8"/>
    </w:p>
    <w:p w14:paraId="00A7149F" w14:textId="490C4E83" w:rsidR="00460AA6" w:rsidRPr="00FD6C38" w:rsidRDefault="005E2A6E">
      <w:pPr>
        <w:pStyle w:val="IASBSectionTitle2NonInd"/>
        <w:rPr>
          <w:lang w:val="hr-HR"/>
        </w:rPr>
      </w:pPr>
      <w:bookmarkStart w:id="9" w:name="unique_36"/>
      <w:r w:rsidRPr="00FD6C38">
        <w:rPr>
          <w:lang w:val="hr-HR"/>
        </w:rPr>
        <w:t>Poglavlje</w:t>
      </w:r>
      <w:r w:rsidR="00567B48" w:rsidRPr="00FD6C38">
        <w:rPr>
          <w:lang w:val="hr-HR"/>
        </w:rPr>
        <w:t xml:space="preserve"> 2 </w:t>
      </w:r>
      <w:bookmarkEnd w:id="9"/>
      <w:r w:rsidRPr="00FD6C38">
        <w:rPr>
          <w:lang w:val="hr-HR"/>
        </w:rPr>
        <w:t>Djelokrug</w:t>
      </w:r>
    </w:p>
    <w:p w14:paraId="24CED222" w14:textId="77777777" w:rsidR="00460AA6" w:rsidRPr="00960F5F" w:rsidRDefault="00460AA6">
      <w:pPr>
        <w:pStyle w:val="IASBNormalnpara"/>
        <w:rPr>
          <w:lang w:val="hr-HR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60AA6" w:rsidRPr="00960F5F" w14:paraId="5D0F4236" w14:textId="77777777">
        <w:tc>
          <w:tcPr>
            <w:tcW w:w="50" w:type="pct"/>
            <w:tcBorders>
              <w:bottom w:val="single" w:sz="0" w:space="0" w:color="auto"/>
              <w:right w:val="single" w:sz="0" w:space="0" w:color="auto"/>
            </w:tcBorders>
          </w:tcPr>
          <w:p w14:paraId="2D6028F0" w14:textId="78F432E4" w:rsidR="00460AA6" w:rsidRPr="00960F5F" w:rsidRDefault="005E2A6E">
            <w:pPr>
              <w:pStyle w:val="IASBTableArial"/>
              <w:rPr>
                <w:lang w:val="hr-HR"/>
              </w:rPr>
            </w:pPr>
            <w:r>
              <w:rPr>
                <w:lang w:val="hr-HR"/>
              </w:rPr>
              <w:t xml:space="preserve">Izvršene su izmjene i dopune stavke (ii) podtačke (b) tačke </w:t>
            </w:r>
            <w:r w:rsidR="00567B48" w:rsidRPr="00960F5F">
              <w:rPr>
                <w:lang w:val="hr-HR"/>
              </w:rPr>
              <w:t>2.1</w:t>
            </w:r>
            <w:r>
              <w:rPr>
                <w:lang w:val="hr-HR"/>
              </w:rPr>
              <w:t xml:space="preserve">. Stavka (i) podtačke (b) tačke 2.1 nije pretrpjela nikakve izmjene, ali je uvrštena ovdje zbog bolje preglednosti. Novi tekst je podvučen a brisani precrtan. </w:t>
            </w:r>
          </w:p>
        </w:tc>
      </w:tr>
    </w:tbl>
    <w:p w14:paraId="2D6BEA99" w14:textId="77777777" w:rsidR="00460AA6" w:rsidRPr="00960F5F" w:rsidRDefault="00460AA6">
      <w:pPr>
        <w:pStyle w:val="IASBNormalnpara"/>
        <w:rPr>
          <w:lang w:val="hr-HR"/>
        </w:rPr>
      </w:pPr>
    </w:p>
    <w:p w14:paraId="2013AAA1" w14:textId="1A590CCE" w:rsidR="00460AA6" w:rsidRPr="00960F5F" w:rsidRDefault="00567B48">
      <w:pPr>
        <w:pStyle w:val="IASBNormalnpara"/>
        <w:rPr>
          <w:lang w:val="hr-HR"/>
        </w:rPr>
      </w:pPr>
      <w:r w:rsidRPr="00960F5F">
        <w:rPr>
          <w:b/>
          <w:color w:val="808080"/>
          <w:lang w:val="hr-HR"/>
        </w:rPr>
        <w:t>2.1</w:t>
      </w:r>
      <w:r w:rsidRPr="00960F5F">
        <w:rPr>
          <w:lang w:val="hr-HR"/>
        </w:rPr>
        <w:tab/>
      </w:r>
      <w:r w:rsidR="005E2A6E">
        <w:rPr>
          <w:b/>
          <w:color w:val="808080"/>
          <w:lang w:val="hr-HR"/>
        </w:rPr>
        <w:t>Ovaj standard treba se primjenjivati u svim subjektima na sve vrste finansijskih instrumenata osim</w:t>
      </w:r>
      <w:r w:rsidRPr="00960F5F">
        <w:rPr>
          <w:b/>
          <w:color w:val="808080"/>
          <w:lang w:val="hr-HR"/>
        </w:rPr>
        <w:t>:</w:t>
      </w:r>
    </w:p>
    <w:p w14:paraId="2D859B10" w14:textId="77777777" w:rsidR="00460AA6" w:rsidRPr="00960F5F" w:rsidRDefault="00567B48">
      <w:pPr>
        <w:pStyle w:val="IASBNormalnparaP"/>
        <w:rPr>
          <w:lang w:val="hr-HR"/>
        </w:rPr>
      </w:pPr>
      <w:r w:rsidRPr="00960F5F">
        <w:rPr>
          <w:b/>
          <w:color w:val="808080"/>
          <w:lang w:val="hr-HR"/>
        </w:rPr>
        <w:t>...</w:t>
      </w:r>
    </w:p>
    <w:p w14:paraId="799A6D9B" w14:textId="62586D54" w:rsidR="00460AA6" w:rsidRPr="00960F5F" w:rsidRDefault="00567B48">
      <w:pPr>
        <w:pStyle w:val="IASBNormalnparaL1"/>
        <w:rPr>
          <w:lang w:val="hr-HR"/>
        </w:rPr>
      </w:pPr>
      <w:r w:rsidRPr="00960F5F">
        <w:rPr>
          <w:b/>
          <w:color w:val="808080"/>
          <w:lang w:val="hr-HR"/>
        </w:rPr>
        <w:t>(b)</w:t>
      </w:r>
      <w:r w:rsidRPr="00960F5F">
        <w:rPr>
          <w:lang w:val="hr-HR"/>
        </w:rPr>
        <w:tab/>
      </w:r>
      <w:r w:rsidR="005E2A6E">
        <w:rPr>
          <w:b/>
          <w:color w:val="808080"/>
          <w:lang w:val="hr-HR"/>
        </w:rPr>
        <w:t>prava i obaveza prema najmovima na koja se primjenjuje MSFI</w:t>
      </w:r>
      <w:r w:rsidR="005E2A6E" w:rsidRPr="00960F5F">
        <w:rPr>
          <w:b/>
          <w:color w:val="808080"/>
          <w:lang w:val="hr-HR"/>
        </w:rPr>
        <w:t xml:space="preserve"> </w:t>
      </w:r>
      <w:r w:rsidRPr="00960F5F">
        <w:rPr>
          <w:b/>
          <w:color w:val="808080"/>
          <w:lang w:val="hr-HR"/>
        </w:rPr>
        <w:t>16 </w:t>
      </w:r>
      <w:r w:rsidR="005E2A6E">
        <w:rPr>
          <w:b/>
          <w:i/>
          <w:color w:val="808080"/>
          <w:lang w:val="hr-HR"/>
        </w:rPr>
        <w:t>Najmovi</w:t>
      </w:r>
      <w:r w:rsidRPr="00960F5F">
        <w:rPr>
          <w:b/>
          <w:color w:val="808080"/>
          <w:lang w:val="hr-HR"/>
        </w:rPr>
        <w:t xml:space="preserve">. </w:t>
      </w:r>
      <w:r w:rsidR="005E2A6E">
        <w:rPr>
          <w:b/>
          <w:color w:val="808080"/>
          <w:lang w:val="hr-HR"/>
        </w:rPr>
        <w:t>Međutim</w:t>
      </w:r>
      <w:r w:rsidRPr="00960F5F">
        <w:rPr>
          <w:b/>
          <w:color w:val="808080"/>
          <w:lang w:val="hr-HR"/>
        </w:rPr>
        <w:t>:</w:t>
      </w:r>
    </w:p>
    <w:p w14:paraId="346BC760" w14:textId="28D28BEB" w:rsidR="00460AA6" w:rsidRPr="00960F5F" w:rsidRDefault="00567B48">
      <w:pPr>
        <w:pStyle w:val="IASBNormalnparaL2"/>
        <w:rPr>
          <w:lang w:val="hr-HR"/>
        </w:rPr>
      </w:pPr>
      <w:r w:rsidRPr="00960F5F">
        <w:rPr>
          <w:b/>
          <w:color w:val="808080"/>
          <w:lang w:val="hr-HR"/>
        </w:rPr>
        <w:t>(i)</w:t>
      </w:r>
      <w:r w:rsidRPr="00960F5F">
        <w:rPr>
          <w:lang w:val="hr-HR"/>
        </w:rPr>
        <w:tab/>
      </w:r>
      <w:r w:rsidR="005E2A6E">
        <w:rPr>
          <w:b/>
          <w:color w:val="808080"/>
          <w:lang w:val="hr-HR"/>
        </w:rPr>
        <w:t xml:space="preserve">potraživanja po financijskim najmovima (to jeste, neto </w:t>
      </w:r>
      <w:r w:rsidR="009E79E0">
        <w:rPr>
          <w:b/>
          <w:color w:val="808080"/>
          <w:lang w:val="hr-HR"/>
        </w:rPr>
        <w:t>u</w:t>
      </w:r>
      <w:r w:rsidR="005E2A6E">
        <w:rPr>
          <w:b/>
          <w:color w:val="808080"/>
          <w:lang w:val="hr-HR"/>
        </w:rPr>
        <w:t>laganja u financijske najmove) i operativnim najmovima koja priznaje najmodavac podliježu zahtjevima ovog Standarda o prestanku priznavanja i umanjenju vrijednosti</w:t>
      </w:r>
      <w:r w:rsidRPr="00960F5F">
        <w:rPr>
          <w:b/>
          <w:color w:val="808080"/>
          <w:lang w:val="hr-HR"/>
        </w:rPr>
        <w:t>;</w:t>
      </w:r>
    </w:p>
    <w:p w14:paraId="25CC6F4A" w14:textId="3950C406" w:rsidR="00460AA6" w:rsidRPr="00960F5F" w:rsidRDefault="00567B48">
      <w:pPr>
        <w:pStyle w:val="IASBNormalnparaL2"/>
        <w:rPr>
          <w:lang w:val="hr-HR"/>
        </w:rPr>
      </w:pPr>
      <w:r w:rsidRPr="00960F5F">
        <w:rPr>
          <w:b/>
          <w:lang w:val="hr-HR"/>
        </w:rPr>
        <w:t>(ii)</w:t>
      </w:r>
      <w:r w:rsidRPr="00960F5F">
        <w:rPr>
          <w:lang w:val="hr-HR"/>
        </w:rPr>
        <w:tab/>
      </w:r>
      <w:r w:rsidR="005E2A6E">
        <w:rPr>
          <w:b/>
          <w:lang w:val="hr-HR"/>
        </w:rPr>
        <w:t>obaveze po financijskim najmovima koje priznaje zajmoprim</w:t>
      </w:r>
      <w:r w:rsidR="00FD6C38">
        <w:rPr>
          <w:b/>
          <w:lang w:val="hr-HR"/>
        </w:rPr>
        <w:t>a</w:t>
      </w:r>
      <w:r w:rsidR="009E79E0">
        <w:rPr>
          <w:b/>
          <w:lang w:val="hr-HR"/>
        </w:rPr>
        <w:t>telj</w:t>
      </w:r>
      <w:r w:rsidR="005E2A6E">
        <w:rPr>
          <w:b/>
          <w:lang w:val="hr-HR"/>
        </w:rPr>
        <w:t xml:space="preserve"> podliježu zahtjevima tačaka </w:t>
      </w:r>
      <w:r w:rsidR="005E2A6E" w:rsidRPr="005E2A6E">
        <w:rPr>
          <w:b/>
          <w:strike/>
          <w:lang w:val="hr-HR"/>
        </w:rPr>
        <w:t xml:space="preserve">tačke </w:t>
      </w:r>
      <w:r w:rsidR="005E2A6E">
        <w:rPr>
          <w:b/>
          <w:lang w:val="hr-HR"/>
        </w:rPr>
        <w:t>3.3.1</w:t>
      </w:r>
      <w:r w:rsidR="009E79E0">
        <w:rPr>
          <w:b/>
          <w:u w:val="single"/>
          <w:lang w:val="hr-HR"/>
        </w:rPr>
        <w:t xml:space="preserve">. </w:t>
      </w:r>
      <w:r w:rsidR="005E2A6E" w:rsidRPr="005E2A6E">
        <w:rPr>
          <w:b/>
          <w:u w:val="single"/>
          <w:lang w:val="hr-HR"/>
        </w:rPr>
        <w:t>i 3.3.3</w:t>
      </w:r>
      <w:r w:rsidR="009E79E0">
        <w:rPr>
          <w:b/>
          <w:u w:val="single"/>
          <w:lang w:val="hr-HR"/>
        </w:rPr>
        <w:t>.</w:t>
      </w:r>
      <w:r w:rsidR="005E2A6E">
        <w:rPr>
          <w:b/>
          <w:lang w:val="hr-HR"/>
        </w:rPr>
        <w:t xml:space="preserve"> ovog Standarda</w:t>
      </w:r>
      <w:r w:rsidRPr="00960F5F">
        <w:rPr>
          <w:b/>
          <w:lang w:val="hr-HR"/>
        </w:rPr>
        <w:t xml:space="preserve">; </w:t>
      </w:r>
      <w:r w:rsidR="005E2A6E">
        <w:rPr>
          <w:b/>
          <w:lang w:val="hr-HR"/>
        </w:rPr>
        <w:t>i</w:t>
      </w:r>
    </w:p>
    <w:p w14:paraId="2ED63350" w14:textId="77777777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ab/>
        <w:t>...</w:t>
      </w:r>
    </w:p>
    <w:p w14:paraId="6A7B5E33" w14:textId="77777777" w:rsidR="00460AA6" w:rsidRPr="00960F5F" w:rsidRDefault="00460AA6">
      <w:pPr>
        <w:pStyle w:val="SectionEnd"/>
        <w:rPr>
          <w:lang w:val="hr-HR"/>
        </w:rPr>
        <w:sectPr w:rsidR="00460AA6" w:rsidRPr="00960F5F">
          <w:headerReference w:type="even" r:id="rId27"/>
          <w:headerReference w:type="default" r:id="rId28"/>
          <w:footerReference w:type="even" r:id="rId29"/>
          <w:footerReference w:type="default" r:id="rId30"/>
          <w:pgSz w:w="11895" w:h="16834"/>
          <w:pgMar w:top="1440" w:right="1440" w:bottom="1440" w:left="1440" w:header="720" w:footer="720" w:gutter="0"/>
          <w:cols w:space="720"/>
        </w:sectPr>
      </w:pPr>
    </w:p>
    <w:p w14:paraId="19D9B813" w14:textId="6AAA3A7C" w:rsidR="00460AA6" w:rsidRPr="00960F5F" w:rsidRDefault="005E2A6E">
      <w:pPr>
        <w:pStyle w:val="IASBSectionTitle2NonInd"/>
        <w:rPr>
          <w:lang w:val="hr-HR"/>
        </w:rPr>
      </w:pPr>
      <w:bookmarkStart w:id="10" w:name="unique_68"/>
      <w:r>
        <w:rPr>
          <w:lang w:val="hr-HR"/>
        </w:rPr>
        <w:lastRenderedPageBreak/>
        <w:t>Poglavlje</w:t>
      </w:r>
      <w:r w:rsidR="00567B48" w:rsidRPr="00960F5F">
        <w:rPr>
          <w:lang w:val="hr-HR"/>
        </w:rPr>
        <w:t xml:space="preserve"> 5 M</w:t>
      </w:r>
      <w:r>
        <w:rPr>
          <w:lang w:val="hr-HR"/>
        </w:rPr>
        <w:t xml:space="preserve">jerenje </w:t>
      </w:r>
      <w:bookmarkEnd w:id="10"/>
    </w:p>
    <w:p w14:paraId="507779CF" w14:textId="77777777" w:rsidR="00460AA6" w:rsidRPr="00960F5F" w:rsidRDefault="00460AA6">
      <w:pPr>
        <w:pStyle w:val="IASBNormalnpara"/>
        <w:rPr>
          <w:lang w:val="hr-HR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60AA6" w:rsidRPr="00960F5F" w14:paraId="24B746C4" w14:textId="77777777">
        <w:tc>
          <w:tcPr>
            <w:tcW w:w="50" w:type="pct"/>
            <w:tcBorders>
              <w:bottom w:val="single" w:sz="0" w:space="0" w:color="auto"/>
              <w:right w:val="single" w:sz="0" w:space="0" w:color="auto"/>
            </w:tcBorders>
          </w:tcPr>
          <w:p w14:paraId="1288C9ED" w14:textId="7A39FFAC" w:rsidR="00460AA6" w:rsidRPr="00960F5F" w:rsidRDefault="005E2A6E">
            <w:pPr>
              <w:pStyle w:val="IASBTableArial"/>
              <w:rPr>
                <w:lang w:val="hr-HR"/>
              </w:rPr>
            </w:pPr>
            <w:r>
              <w:rPr>
                <w:lang w:val="hr-HR"/>
              </w:rPr>
              <w:t xml:space="preserve">Izvršene su izmjene i dopune tačke </w:t>
            </w:r>
            <w:r w:rsidR="00567B48" w:rsidRPr="00960F5F">
              <w:rPr>
                <w:lang w:val="hr-HR"/>
              </w:rPr>
              <w:t>5.1.3</w:t>
            </w:r>
            <w:r w:rsidR="009E79E0">
              <w:rPr>
                <w:lang w:val="hr-HR"/>
              </w:rPr>
              <w:t>.</w:t>
            </w:r>
            <w:r w:rsidR="00567B48" w:rsidRPr="00960F5F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Tačke </w:t>
            </w:r>
            <w:r w:rsidR="00567B48" w:rsidRPr="00960F5F">
              <w:rPr>
                <w:lang w:val="hr-HR"/>
              </w:rPr>
              <w:t>5.1.1</w:t>
            </w:r>
            <w:r w:rsidR="009E79E0">
              <w:rPr>
                <w:lang w:val="hr-HR"/>
              </w:rPr>
              <w:t>.</w:t>
            </w:r>
            <w:r>
              <w:rPr>
                <w:lang w:val="hr-HR"/>
              </w:rPr>
              <w:t xml:space="preserve"> i </w:t>
            </w:r>
            <w:r w:rsidR="00567B48" w:rsidRPr="00960F5F">
              <w:rPr>
                <w:lang w:val="hr-HR"/>
              </w:rPr>
              <w:t>5.1.2</w:t>
            </w:r>
            <w:r w:rsidR="009E79E0">
              <w:rPr>
                <w:lang w:val="hr-HR"/>
              </w:rPr>
              <w:t>.</w:t>
            </w:r>
            <w:r w:rsidR="00567B48" w:rsidRPr="00960F5F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nisu pretrpjele nikakve izmjene, ali su uvrštene ovdje zbog bolje preglednosti. Izmijenjeni tekst je podvučen a brisani precrtan. </w:t>
            </w:r>
          </w:p>
        </w:tc>
      </w:tr>
    </w:tbl>
    <w:p w14:paraId="2622937D" w14:textId="77777777" w:rsidR="00460AA6" w:rsidRPr="00960F5F" w:rsidRDefault="00460AA6">
      <w:pPr>
        <w:pStyle w:val="IASBNormalnpara"/>
        <w:rPr>
          <w:lang w:val="hr-HR"/>
        </w:rPr>
      </w:pPr>
    </w:p>
    <w:p w14:paraId="1780E46D" w14:textId="46DE5347" w:rsidR="00460AA6" w:rsidRPr="00960F5F" w:rsidRDefault="00567B48">
      <w:pPr>
        <w:pStyle w:val="IASBSectionTitle1NonInd"/>
        <w:rPr>
          <w:lang w:val="hr-HR"/>
        </w:rPr>
      </w:pPr>
      <w:bookmarkStart w:id="11" w:name="unique_73"/>
      <w:r w:rsidRPr="00960F5F">
        <w:rPr>
          <w:lang w:val="hr-HR"/>
        </w:rPr>
        <w:t xml:space="preserve">5.1 </w:t>
      </w:r>
      <w:bookmarkEnd w:id="11"/>
      <w:r w:rsidR="005E2A6E">
        <w:rPr>
          <w:lang w:val="hr-HR"/>
        </w:rPr>
        <w:t xml:space="preserve">Početno mjerenje </w:t>
      </w:r>
    </w:p>
    <w:p w14:paraId="46C7DE0C" w14:textId="438737A2" w:rsidR="00460AA6" w:rsidRPr="00960F5F" w:rsidRDefault="00567B48">
      <w:pPr>
        <w:pStyle w:val="IASBNormalnpara"/>
        <w:rPr>
          <w:color w:val="808080" w:themeColor="background1" w:themeShade="80"/>
          <w:lang w:val="hr-HR"/>
        </w:rPr>
      </w:pPr>
      <w:r w:rsidRPr="00960F5F">
        <w:rPr>
          <w:b/>
          <w:color w:val="808080" w:themeColor="background1" w:themeShade="80"/>
          <w:lang w:val="hr-HR"/>
        </w:rPr>
        <w:t>5.1.1</w:t>
      </w:r>
      <w:r w:rsidRPr="00960F5F">
        <w:rPr>
          <w:color w:val="808080" w:themeColor="background1" w:themeShade="80"/>
          <w:lang w:val="hr-HR"/>
        </w:rPr>
        <w:tab/>
      </w:r>
      <w:r w:rsidR="00AB5BDF">
        <w:rPr>
          <w:b/>
          <w:color w:val="808080" w:themeColor="background1" w:themeShade="80"/>
          <w:lang w:val="hr-HR"/>
        </w:rPr>
        <w:t xml:space="preserve">Osim za potraživanja od kupaca iz djelokruga tačke </w:t>
      </w:r>
      <w:r w:rsidRPr="00960F5F">
        <w:rPr>
          <w:b/>
          <w:color w:val="808080" w:themeColor="background1" w:themeShade="80"/>
          <w:lang w:val="hr-HR"/>
        </w:rPr>
        <w:t xml:space="preserve">5.1.3, </w:t>
      </w:r>
      <w:r w:rsidR="00AB5BDF">
        <w:rPr>
          <w:b/>
          <w:color w:val="808080" w:themeColor="background1" w:themeShade="80"/>
          <w:lang w:val="hr-HR"/>
        </w:rPr>
        <w:t>pri početnom priznavanju, subjekt je dužan mjeriti finansijsku imovinu ili finansijsku obavezu po njenoj fer vrijednosti</w:t>
      </w:r>
      <w:r w:rsidR="00503045">
        <w:rPr>
          <w:b/>
          <w:color w:val="808080" w:themeColor="background1" w:themeShade="80"/>
          <w:lang w:val="hr-HR"/>
        </w:rPr>
        <w:t>. U slučaj</w:t>
      </w:r>
      <w:r w:rsidR="00AB5BDF">
        <w:rPr>
          <w:b/>
          <w:color w:val="808080" w:themeColor="background1" w:themeShade="80"/>
          <w:lang w:val="hr-HR"/>
        </w:rPr>
        <w:t>u da se ne prikazuje finansijsku imovinu ili finansijsku obavezu po fer vrijednosti kroz bilans uspjeha</w:t>
      </w:r>
      <w:r w:rsidR="00503045">
        <w:rPr>
          <w:b/>
          <w:color w:val="808080" w:themeColor="background1" w:themeShade="80"/>
          <w:lang w:val="hr-HR"/>
        </w:rPr>
        <w:t>,</w:t>
      </w:r>
      <w:r w:rsidR="00AB5BDF">
        <w:rPr>
          <w:b/>
          <w:color w:val="808080" w:themeColor="background1" w:themeShade="80"/>
          <w:lang w:val="hr-HR"/>
        </w:rPr>
        <w:t xml:space="preserve"> oni se uvećavaju </w:t>
      </w:r>
      <w:r w:rsidR="00503045">
        <w:rPr>
          <w:b/>
          <w:color w:val="808080" w:themeColor="background1" w:themeShade="80"/>
          <w:lang w:val="hr-HR"/>
        </w:rPr>
        <w:t xml:space="preserve">ili umanjuju </w:t>
      </w:r>
      <w:r w:rsidR="00AB5BDF">
        <w:rPr>
          <w:b/>
          <w:color w:val="808080" w:themeColor="background1" w:themeShade="80"/>
          <w:lang w:val="hr-HR"/>
        </w:rPr>
        <w:t xml:space="preserve">za </w:t>
      </w:r>
      <w:r w:rsidR="00AB5BDF" w:rsidRPr="00503045">
        <w:rPr>
          <w:b/>
          <w:i/>
          <w:iCs/>
          <w:color w:val="808080" w:themeColor="background1" w:themeShade="80"/>
          <w:lang w:val="hr-HR"/>
        </w:rPr>
        <w:t>transakcijske troškove</w:t>
      </w:r>
      <w:r w:rsidR="00AB5BDF">
        <w:rPr>
          <w:b/>
          <w:color w:val="808080" w:themeColor="background1" w:themeShade="80"/>
          <w:lang w:val="hr-HR"/>
        </w:rPr>
        <w:t xml:space="preserve"> koji se izravno mogu pripisati stjecanju ili izdavanju finansijske imovine ili finansijske obaveze</w:t>
      </w:r>
      <w:r w:rsidRPr="00960F5F">
        <w:rPr>
          <w:b/>
          <w:color w:val="808080" w:themeColor="background1" w:themeShade="80"/>
          <w:lang w:val="hr-HR"/>
        </w:rPr>
        <w:t>.</w:t>
      </w:r>
    </w:p>
    <w:p w14:paraId="7C9E51E4" w14:textId="01AC13D2" w:rsidR="00460AA6" w:rsidRPr="00960F5F" w:rsidRDefault="00567B48">
      <w:pPr>
        <w:pStyle w:val="IASBNormalnpara"/>
        <w:rPr>
          <w:color w:val="808080" w:themeColor="background1" w:themeShade="80"/>
          <w:lang w:val="hr-HR"/>
        </w:rPr>
      </w:pPr>
      <w:r w:rsidRPr="00960F5F">
        <w:rPr>
          <w:b/>
          <w:color w:val="808080" w:themeColor="background1" w:themeShade="80"/>
          <w:lang w:val="hr-HR"/>
        </w:rPr>
        <w:t>5.1.1A</w:t>
      </w:r>
      <w:r w:rsidRPr="00960F5F">
        <w:rPr>
          <w:color w:val="808080" w:themeColor="background1" w:themeShade="80"/>
          <w:lang w:val="hr-HR"/>
        </w:rPr>
        <w:tab/>
      </w:r>
      <w:r w:rsidR="00503045">
        <w:rPr>
          <w:b/>
          <w:color w:val="808080" w:themeColor="background1" w:themeShade="80"/>
          <w:lang w:val="hr-HR"/>
        </w:rPr>
        <w:t xml:space="preserve">Međutim, ako se fer vrijednost finansijske imovine ili finansijske obaveze pri početnom priznavanju razlikuje od transakcijske cijene, subjekt je dužan primjenjivati tačku </w:t>
      </w:r>
      <w:r w:rsidRPr="00960F5F">
        <w:rPr>
          <w:b/>
          <w:color w:val="808080" w:themeColor="background1" w:themeShade="80"/>
          <w:lang w:val="hr-HR"/>
        </w:rPr>
        <w:t>B5.1.2A.</w:t>
      </w:r>
    </w:p>
    <w:p w14:paraId="60B8885E" w14:textId="31BE9E7B" w:rsidR="00460AA6" w:rsidRPr="00960F5F" w:rsidRDefault="00567B48" w:rsidP="00802A34">
      <w:pPr>
        <w:pStyle w:val="IASBNormalnpara"/>
        <w:rPr>
          <w:color w:val="808080" w:themeColor="background1" w:themeShade="80"/>
          <w:lang w:val="hr-HR"/>
        </w:rPr>
      </w:pPr>
      <w:r w:rsidRPr="00960F5F">
        <w:rPr>
          <w:color w:val="808080" w:themeColor="background1" w:themeShade="80"/>
          <w:lang w:val="hr-HR"/>
        </w:rPr>
        <w:t>5.1.2</w:t>
      </w:r>
      <w:r w:rsidRPr="00960F5F">
        <w:rPr>
          <w:color w:val="808080" w:themeColor="background1" w:themeShade="80"/>
          <w:lang w:val="hr-HR"/>
        </w:rPr>
        <w:tab/>
      </w:r>
      <w:r w:rsidR="00503045">
        <w:rPr>
          <w:color w:val="808080" w:themeColor="background1" w:themeShade="80"/>
          <w:lang w:val="hr-HR"/>
        </w:rPr>
        <w:t>Ako subjekt koristi obračun na datum izmirenja za imovinu koja se naknadno mjeri po amortiziranom trošku, imovina se početno priznaje po svojoj fer vrijednosti na datum trgovanja (vidjeti tačke</w:t>
      </w:r>
      <w:r w:rsidRPr="00960F5F">
        <w:rPr>
          <w:color w:val="808080" w:themeColor="background1" w:themeShade="80"/>
          <w:lang w:val="hr-HR"/>
        </w:rPr>
        <w:t> B3.1.3</w:t>
      </w:r>
      <w:r w:rsidR="00FD6C38">
        <w:rPr>
          <w:color w:val="808080" w:themeColor="background1" w:themeShade="80"/>
          <w:lang w:val="hr-HR"/>
        </w:rPr>
        <w:t>-</w:t>
      </w:r>
      <w:r w:rsidRPr="00960F5F">
        <w:rPr>
          <w:color w:val="808080" w:themeColor="background1" w:themeShade="80"/>
          <w:lang w:val="hr-HR"/>
        </w:rPr>
        <w:t>B3.1.6</w:t>
      </w:r>
      <w:r w:rsidR="00802A34">
        <w:rPr>
          <w:color w:val="808080" w:themeColor="background1" w:themeShade="80"/>
          <w:lang w:val="hr-HR"/>
        </w:rPr>
        <w:t>.</w:t>
      </w:r>
      <w:r w:rsidRPr="00960F5F">
        <w:rPr>
          <w:color w:val="808080" w:themeColor="background1" w:themeShade="80"/>
          <w:lang w:val="hr-HR"/>
        </w:rPr>
        <w:t>).</w:t>
      </w:r>
    </w:p>
    <w:p w14:paraId="225477C2" w14:textId="476DF562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>5.1.3</w:t>
      </w:r>
      <w:r w:rsidRPr="00960F5F">
        <w:rPr>
          <w:lang w:val="hr-HR"/>
        </w:rPr>
        <w:tab/>
      </w:r>
      <w:r w:rsidR="00802A34">
        <w:rPr>
          <w:lang w:val="hr-HR"/>
        </w:rPr>
        <w:t xml:space="preserve">Uprkos zahtjevima iz tačke </w:t>
      </w:r>
      <w:r w:rsidRPr="00960F5F">
        <w:rPr>
          <w:lang w:val="hr-HR"/>
        </w:rPr>
        <w:t>5.1.1</w:t>
      </w:r>
      <w:r w:rsidR="00802A34">
        <w:rPr>
          <w:lang w:val="hr-HR"/>
        </w:rPr>
        <w:t>.</w:t>
      </w:r>
      <w:r w:rsidRPr="00960F5F">
        <w:rPr>
          <w:lang w:val="hr-HR"/>
        </w:rPr>
        <w:t xml:space="preserve">, </w:t>
      </w:r>
      <w:r w:rsidR="00802A34">
        <w:rPr>
          <w:lang w:val="hr-HR"/>
        </w:rPr>
        <w:t xml:space="preserve">pri početnom priznavanju, subjekt je dužan mjeriti potraživanja od kupaca koja nemaju značajnu finansijsku komponentu u skladu sa MSFI-jem 15 (ili, ako subjekt primjenjuje praktično rješenje, u skladu s tačkom 63. MSFI-ja 15) </w:t>
      </w:r>
      <w:r w:rsidR="00802A34" w:rsidRPr="009E79E0">
        <w:rPr>
          <w:lang w:val="hr-HR"/>
        </w:rPr>
        <w:t xml:space="preserve">po </w:t>
      </w:r>
      <w:r w:rsidR="00802A34" w:rsidRPr="00802A34">
        <w:rPr>
          <w:u w:val="single"/>
          <w:lang w:val="hr-HR"/>
        </w:rPr>
        <w:t>iznosu utvrđenom pr</w:t>
      </w:r>
      <w:r w:rsidR="00802A34">
        <w:rPr>
          <w:u w:val="single"/>
          <w:lang w:val="hr-HR"/>
        </w:rPr>
        <w:t>imjenom MSFI-ja 15</w:t>
      </w:r>
      <w:r w:rsidR="00802A34" w:rsidRPr="00802A34">
        <w:rPr>
          <w:strike/>
          <w:lang w:val="hr-HR"/>
        </w:rPr>
        <w:t>njihovoj transakcijskoj cijeni (kako je definiran</w:t>
      </w:r>
      <w:r w:rsidR="009E79E0">
        <w:rPr>
          <w:strike/>
          <w:lang w:val="hr-HR"/>
        </w:rPr>
        <w:t>a</w:t>
      </w:r>
      <w:r w:rsidR="00802A34" w:rsidRPr="00802A34">
        <w:rPr>
          <w:strike/>
          <w:lang w:val="hr-HR"/>
        </w:rPr>
        <w:t xml:space="preserve"> u MSFI-ju 15)</w:t>
      </w:r>
      <w:r w:rsidR="00802A34">
        <w:rPr>
          <w:lang w:val="hr-HR"/>
        </w:rPr>
        <w:t xml:space="preserve">. </w:t>
      </w:r>
    </w:p>
    <w:p w14:paraId="1D831FC0" w14:textId="77777777" w:rsidR="00460AA6" w:rsidRPr="00960F5F" w:rsidRDefault="00460AA6">
      <w:pPr>
        <w:pStyle w:val="SectionEnd"/>
        <w:rPr>
          <w:lang w:val="hr-HR"/>
        </w:rPr>
        <w:sectPr w:rsidR="00460AA6" w:rsidRPr="00960F5F">
          <w:headerReference w:type="even" r:id="rId31"/>
          <w:headerReference w:type="default" r:id="rId32"/>
          <w:footerReference w:type="even" r:id="rId33"/>
          <w:footerReference w:type="default" r:id="rId34"/>
          <w:pgSz w:w="11895" w:h="16834"/>
          <w:pgMar w:top="1440" w:right="1440" w:bottom="1440" w:left="1440" w:header="720" w:footer="720" w:gutter="0"/>
          <w:cols w:space="720"/>
        </w:sectPr>
      </w:pPr>
    </w:p>
    <w:p w14:paraId="4A65CD29" w14:textId="32D186CB" w:rsidR="00460AA6" w:rsidRPr="00960F5F" w:rsidRDefault="00802A34">
      <w:pPr>
        <w:pStyle w:val="IASBSectionTitle2NonInd"/>
        <w:rPr>
          <w:lang w:val="hr-HR"/>
        </w:rPr>
      </w:pPr>
      <w:bookmarkStart w:id="12" w:name="unique_69"/>
      <w:r>
        <w:rPr>
          <w:lang w:val="hr-HR"/>
        </w:rPr>
        <w:lastRenderedPageBreak/>
        <w:t>Poglavlje</w:t>
      </w:r>
      <w:r w:rsidR="00567B48" w:rsidRPr="00960F5F">
        <w:rPr>
          <w:lang w:val="hr-HR"/>
        </w:rPr>
        <w:t xml:space="preserve"> 7 </w:t>
      </w:r>
      <w:r>
        <w:rPr>
          <w:lang w:val="hr-HR"/>
        </w:rPr>
        <w:t xml:space="preserve">Datum stupanja na snagu i prijazne odredbe </w:t>
      </w:r>
      <w:bookmarkEnd w:id="12"/>
    </w:p>
    <w:p w14:paraId="3E7C7184" w14:textId="77777777" w:rsidR="00460AA6" w:rsidRPr="00960F5F" w:rsidRDefault="00460AA6">
      <w:pPr>
        <w:pStyle w:val="IASBNormalnpara"/>
        <w:rPr>
          <w:lang w:val="hr-HR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60AA6" w:rsidRPr="00960F5F" w14:paraId="0A640690" w14:textId="77777777">
        <w:tc>
          <w:tcPr>
            <w:tcW w:w="50" w:type="pct"/>
            <w:tcBorders>
              <w:bottom w:val="single" w:sz="0" w:space="0" w:color="auto"/>
              <w:right w:val="single" w:sz="0" w:space="0" w:color="auto"/>
            </w:tcBorders>
          </w:tcPr>
          <w:p w14:paraId="471BA3B4" w14:textId="0AFAA640" w:rsidR="00460AA6" w:rsidRPr="00960F5F" w:rsidRDefault="00802A34">
            <w:pPr>
              <w:pStyle w:val="IASBTableArial"/>
              <w:rPr>
                <w:lang w:val="hr-HR"/>
              </w:rPr>
            </w:pPr>
            <w:r>
              <w:rPr>
                <w:lang w:val="hr-HR"/>
              </w:rPr>
              <w:t xml:space="preserve">Uvedene su tačke </w:t>
            </w:r>
            <w:r w:rsidR="00567B48" w:rsidRPr="00960F5F">
              <w:rPr>
                <w:lang w:val="hr-HR"/>
              </w:rPr>
              <w:t>7.1.14</w:t>
            </w:r>
            <w:r>
              <w:rPr>
                <w:lang w:val="hr-HR"/>
              </w:rPr>
              <w:t>.</w:t>
            </w:r>
            <w:r w:rsidR="00567B48" w:rsidRPr="00960F5F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i </w:t>
            </w:r>
            <w:r w:rsidR="00567B48" w:rsidRPr="00960F5F">
              <w:rPr>
                <w:lang w:val="hr-HR"/>
              </w:rPr>
              <w:t>7.2.50</w:t>
            </w:r>
            <w:r>
              <w:rPr>
                <w:lang w:val="hr-HR"/>
              </w:rPr>
              <w:t xml:space="preserve">. te podnaslov ispred tačke </w:t>
            </w:r>
            <w:r w:rsidR="00567B48" w:rsidRPr="00960F5F">
              <w:rPr>
                <w:lang w:val="hr-HR"/>
              </w:rPr>
              <w:t>7.2.50</w:t>
            </w:r>
            <w:r>
              <w:rPr>
                <w:lang w:val="hr-HR"/>
              </w:rPr>
              <w:t xml:space="preserve">. Zbog bolje preglednosti, te tačke nisu podvučene. Novi podnaslov je podvučen. </w:t>
            </w:r>
          </w:p>
        </w:tc>
      </w:tr>
    </w:tbl>
    <w:p w14:paraId="3A5C7171" w14:textId="77777777" w:rsidR="00460AA6" w:rsidRPr="00960F5F" w:rsidRDefault="00460AA6">
      <w:pPr>
        <w:pStyle w:val="IASBNormalnpara"/>
        <w:rPr>
          <w:lang w:val="hr-HR"/>
        </w:rPr>
      </w:pPr>
    </w:p>
    <w:p w14:paraId="0778DF8F" w14:textId="0B1846B7" w:rsidR="00460AA6" w:rsidRPr="00960F5F" w:rsidRDefault="00567B48">
      <w:pPr>
        <w:pStyle w:val="IASBSectionTitle1NonInd"/>
        <w:rPr>
          <w:lang w:val="hr-HR"/>
        </w:rPr>
      </w:pPr>
      <w:bookmarkStart w:id="13" w:name="unique_37"/>
      <w:r w:rsidRPr="00960F5F">
        <w:rPr>
          <w:lang w:val="hr-HR"/>
        </w:rPr>
        <w:t xml:space="preserve">7.1 </w:t>
      </w:r>
      <w:bookmarkEnd w:id="13"/>
      <w:r w:rsidR="00802A34">
        <w:rPr>
          <w:lang w:val="hr-HR"/>
        </w:rPr>
        <w:t xml:space="preserve">Datum stupanja na snagu </w:t>
      </w:r>
    </w:p>
    <w:p w14:paraId="43252CD1" w14:textId="77777777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ab/>
        <w:t>...</w:t>
      </w:r>
    </w:p>
    <w:p w14:paraId="04352CCA" w14:textId="58066F45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>7.1.14</w:t>
      </w:r>
      <w:r w:rsidRPr="00960F5F">
        <w:rPr>
          <w:lang w:val="hr-HR"/>
        </w:rPr>
        <w:tab/>
      </w:r>
      <w:r w:rsidR="00802A34">
        <w:rPr>
          <w:lang w:val="hr-HR"/>
        </w:rPr>
        <w:t xml:space="preserve">Dokumentom </w:t>
      </w:r>
      <w:r w:rsidR="009E79E0">
        <w:rPr>
          <w:i/>
          <w:lang w:val="hr-HR"/>
        </w:rPr>
        <w:t>G</w:t>
      </w:r>
      <w:r w:rsidR="00802A34">
        <w:rPr>
          <w:i/>
          <w:lang w:val="hr-HR"/>
        </w:rPr>
        <w:t>odišnj</w:t>
      </w:r>
      <w:r w:rsidR="009E79E0">
        <w:rPr>
          <w:i/>
          <w:lang w:val="hr-HR"/>
        </w:rPr>
        <w:t>a</w:t>
      </w:r>
      <w:r w:rsidR="00802A34">
        <w:rPr>
          <w:i/>
          <w:lang w:val="hr-HR"/>
        </w:rPr>
        <w:t xml:space="preserve"> unaprjeđenja </w:t>
      </w:r>
      <w:r w:rsidR="009E79E0">
        <w:rPr>
          <w:i/>
          <w:lang w:val="hr-HR"/>
        </w:rPr>
        <w:t>IFRS</w:t>
      </w:r>
      <w:r w:rsidR="00802A34">
        <w:rPr>
          <w:i/>
          <w:lang w:val="hr-HR"/>
        </w:rPr>
        <w:t xml:space="preserve"> računovodstvenih standarda</w:t>
      </w:r>
      <w:r w:rsidR="009E79E0">
        <w:rPr>
          <w:i/>
          <w:lang w:val="hr-HR"/>
        </w:rPr>
        <w:t>, Dio 11</w:t>
      </w:r>
      <w:r w:rsidRPr="00960F5F">
        <w:rPr>
          <w:lang w:val="hr-HR"/>
        </w:rPr>
        <w:t xml:space="preserve">, </w:t>
      </w:r>
      <w:r w:rsidR="00FD6C38">
        <w:rPr>
          <w:lang w:val="hr-HR"/>
        </w:rPr>
        <w:t>objavljenim</w:t>
      </w:r>
      <w:r w:rsidR="00802A34">
        <w:rPr>
          <w:lang w:val="hr-HR"/>
        </w:rPr>
        <w:t xml:space="preserve"> u julu 2024. godine, </w:t>
      </w:r>
      <w:r w:rsidR="00FD6C38">
        <w:rPr>
          <w:lang w:val="hr-HR"/>
        </w:rPr>
        <w:t xml:space="preserve">izmijenjene su </w:t>
      </w:r>
      <w:r w:rsidR="00802A34">
        <w:rPr>
          <w:lang w:val="hr-HR"/>
        </w:rPr>
        <w:t>stavke (ii) podtačke (b) tačke 2.1., tačk</w:t>
      </w:r>
      <w:r w:rsidR="00E86E29">
        <w:rPr>
          <w:lang w:val="hr-HR"/>
        </w:rPr>
        <w:t>a</w:t>
      </w:r>
      <w:r w:rsidR="00802A34">
        <w:rPr>
          <w:lang w:val="hr-HR"/>
        </w:rPr>
        <w:t xml:space="preserve"> </w:t>
      </w:r>
      <w:r w:rsidRPr="00960F5F">
        <w:rPr>
          <w:lang w:val="hr-HR"/>
        </w:rPr>
        <w:t>5.1.3</w:t>
      </w:r>
      <w:r w:rsidR="00802A34">
        <w:rPr>
          <w:lang w:val="hr-HR"/>
        </w:rPr>
        <w:t xml:space="preserve"> i Dodat</w:t>
      </w:r>
      <w:r w:rsidR="00E86E29">
        <w:rPr>
          <w:lang w:val="hr-HR"/>
        </w:rPr>
        <w:t>ak</w:t>
      </w:r>
      <w:r w:rsidR="00802A34">
        <w:rPr>
          <w:lang w:val="hr-HR"/>
        </w:rPr>
        <w:t xml:space="preserve"> A</w:t>
      </w:r>
      <w:r w:rsidRPr="00960F5F">
        <w:rPr>
          <w:lang w:val="hr-HR"/>
        </w:rPr>
        <w:t xml:space="preserve">. </w:t>
      </w:r>
      <w:r w:rsidR="0098640F">
        <w:rPr>
          <w:lang w:val="hr-HR"/>
        </w:rPr>
        <w:t xml:space="preserve">Subjekt  je dužan primijeniti te izmjene na godišnje izvještajne periode </w:t>
      </w:r>
      <w:r w:rsidR="00FD6C38">
        <w:rPr>
          <w:lang w:val="hr-HR"/>
        </w:rPr>
        <w:t>koji počinju na dan</w:t>
      </w:r>
      <w:r w:rsidR="0098640F">
        <w:rPr>
          <w:lang w:val="hr-HR"/>
        </w:rPr>
        <w:t xml:space="preserve"> </w:t>
      </w:r>
      <w:r w:rsidRPr="00960F5F">
        <w:rPr>
          <w:lang w:val="hr-HR"/>
        </w:rPr>
        <w:t>1</w:t>
      </w:r>
      <w:r w:rsidR="0098640F">
        <w:rPr>
          <w:lang w:val="hr-HR"/>
        </w:rPr>
        <w:t xml:space="preserve">. januara </w:t>
      </w:r>
      <w:r w:rsidRPr="00960F5F">
        <w:rPr>
          <w:lang w:val="hr-HR"/>
        </w:rPr>
        <w:t>2026.</w:t>
      </w:r>
      <w:r w:rsidR="0098640F">
        <w:rPr>
          <w:lang w:val="hr-HR"/>
        </w:rPr>
        <w:t xml:space="preserve"> godine</w:t>
      </w:r>
      <w:r w:rsidR="00E86E29">
        <w:rPr>
          <w:lang w:val="hr-HR"/>
        </w:rPr>
        <w:t xml:space="preserve"> ili kasnije</w:t>
      </w:r>
      <w:r w:rsidR="0098640F">
        <w:rPr>
          <w:lang w:val="hr-HR"/>
        </w:rPr>
        <w:t xml:space="preserve">. </w:t>
      </w:r>
      <w:r w:rsidR="00FD6C38">
        <w:rPr>
          <w:lang w:val="hr-HR"/>
        </w:rPr>
        <w:t xml:space="preserve">Ranija primjena je dozvoljena. </w:t>
      </w:r>
      <w:r w:rsidR="0098640F">
        <w:rPr>
          <w:lang w:val="hr-HR"/>
        </w:rPr>
        <w:t xml:space="preserve">Ako subjekt </w:t>
      </w:r>
      <w:r w:rsidR="00FD6C38">
        <w:rPr>
          <w:lang w:val="hr-HR"/>
        </w:rPr>
        <w:t xml:space="preserve">odabere </w:t>
      </w:r>
      <w:r w:rsidR="0098640F">
        <w:rPr>
          <w:lang w:val="hr-HR"/>
        </w:rPr>
        <w:t>prim</w:t>
      </w:r>
      <w:r w:rsidR="00FD6C38">
        <w:rPr>
          <w:lang w:val="hr-HR"/>
        </w:rPr>
        <w:t xml:space="preserve">ijeniti te izmjene </w:t>
      </w:r>
      <w:r w:rsidR="0098640F">
        <w:rPr>
          <w:lang w:val="hr-HR"/>
        </w:rPr>
        <w:t>na ranij</w:t>
      </w:r>
      <w:r w:rsidR="00E86E29">
        <w:rPr>
          <w:lang w:val="hr-HR"/>
        </w:rPr>
        <w:t>i</w:t>
      </w:r>
      <w:r w:rsidR="0098640F">
        <w:rPr>
          <w:lang w:val="hr-HR"/>
        </w:rPr>
        <w:t xml:space="preserve"> period, </w:t>
      </w:r>
      <w:r w:rsidR="003A2580">
        <w:rPr>
          <w:lang w:val="hr-HR"/>
        </w:rPr>
        <w:t>treba</w:t>
      </w:r>
      <w:r w:rsidR="0098640F">
        <w:rPr>
          <w:lang w:val="hr-HR"/>
        </w:rPr>
        <w:t xml:space="preserve"> objaviti tu činjenicu. </w:t>
      </w:r>
    </w:p>
    <w:p w14:paraId="0703F337" w14:textId="77777777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ab/>
        <w:t>...</w:t>
      </w:r>
    </w:p>
    <w:p w14:paraId="3D963070" w14:textId="602152EA" w:rsidR="00460AA6" w:rsidRPr="00960F5F" w:rsidRDefault="00567B48">
      <w:pPr>
        <w:pStyle w:val="IASBSectionTitle1NonInd"/>
        <w:rPr>
          <w:lang w:val="hr-HR"/>
        </w:rPr>
      </w:pPr>
      <w:bookmarkStart w:id="14" w:name="unique_38"/>
      <w:r w:rsidRPr="00960F5F">
        <w:rPr>
          <w:lang w:val="hr-HR"/>
        </w:rPr>
        <w:t xml:space="preserve">7.2 </w:t>
      </w:r>
      <w:bookmarkEnd w:id="14"/>
      <w:r w:rsidR="0098640F">
        <w:rPr>
          <w:lang w:val="hr-HR"/>
        </w:rPr>
        <w:t xml:space="preserve">Prijelazne odredbe </w:t>
      </w:r>
    </w:p>
    <w:p w14:paraId="45CD2003" w14:textId="77777777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ab/>
        <w:t>...</w:t>
      </w:r>
    </w:p>
    <w:p w14:paraId="6951FF6F" w14:textId="7C6E1FF5" w:rsidR="00460AA6" w:rsidRPr="00960F5F" w:rsidRDefault="0098640F">
      <w:pPr>
        <w:pStyle w:val="IASBSectionTitle2Ind"/>
        <w:rPr>
          <w:lang w:val="hr-HR"/>
        </w:rPr>
      </w:pPr>
      <w:bookmarkStart w:id="15" w:name="unique_79"/>
      <w:r>
        <w:rPr>
          <w:u w:val="single"/>
          <w:lang w:val="hr-HR"/>
        </w:rPr>
        <w:t>Pr</w:t>
      </w:r>
      <w:r w:rsidR="00E9667D">
        <w:rPr>
          <w:u w:val="single"/>
          <w:lang w:val="hr-HR"/>
        </w:rPr>
        <w:t xml:space="preserve">ijelazne odredbe za potrebe </w:t>
      </w:r>
      <w:r w:rsidR="001B019F">
        <w:rPr>
          <w:i/>
          <w:u w:val="single"/>
          <w:lang w:val="hr-HR"/>
        </w:rPr>
        <w:t>G</w:t>
      </w:r>
      <w:r w:rsidR="00E9667D">
        <w:rPr>
          <w:i/>
          <w:u w:val="single"/>
          <w:lang w:val="hr-HR"/>
        </w:rPr>
        <w:t xml:space="preserve">odišnjih unapređenja </w:t>
      </w:r>
      <w:r w:rsidR="001B019F">
        <w:rPr>
          <w:i/>
          <w:u w:val="single"/>
          <w:lang w:val="hr-HR"/>
        </w:rPr>
        <w:t>IFRS</w:t>
      </w:r>
      <w:r w:rsidR="00E9667D">
        <w:rPr>
          <w:i/>
          <w:u w:val="single"/>
          <w:lang w:val="hr-HR"/>
        </w:rPr>
        <w:t xml:space="preserve"> računovodstvenih standarda</w:t>
      </w:r>
      <w:r w:rsidR="001B019F">
        <w:rPr>
          <w:i/>
          <w:u w:val="single"/>
          <w:lang w:val="hr-HR"/>
        </w:rPr>
        <w:t>, Dio 11</w:t>
      </w:r>
      <w:r w:rsidR="00E9667D">
        <w:rPr>
          <w:i/>
          <w:u w:val="single"/>
          <w:lang w:val="hr-HR"/>
        </w:rPr>
        <w:t xml:space="preserve"> </w:t>
      </w:r>
      <w:bookmarkEnd w:id="15"/>
    </w:p>
    <w:p w14:paraId="09C13831" w14:textId="7BF627DF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>7.2.50</w:t>
      </w:r>
      <w:r w:rsidRPr="00960F5F">
        <w:rPr>
          <w:lang w:val="hr-HR"/>
        </w:rPr>
        <w:tab/>
      </w:r>
      <w:r w:rsidR="0098640F">
        <w:rPr>
          <w:lang w:val="hr-HR"/>
        </w:rPr>
        <w:t>Subjekt je dužan primijeniti izmjenu stavke (ii) podtačke (b) tačke 2.1 izv</w:t>
      </w:r>
      <w:r w:rsidR="001B019F">
        <w:rPr>
          <w:lang w:val="hr-HR"/>
        </w:rPr>
        <w:t xml:space="preserve">ršenu kroz dokument </w:t>
      </w:r>
      <w:r w:rsidR="001B019F">
        <w:rPr>
          <w:i/>
          <w:lang w:val="hr-HR"/>
        </w:rPr>
        <w:t>Godišnja un</w:t>
      </w:r>
      <w:r w:rsidR="0098640F">
        <w:rPr>
          <w:i/>
          <w:lang w:val="hr-HR"/>
        </w:rPr>
        <w:t xml:space="preserve">apređenja IFRS računovodstvenih standarda </w:t>
      </w:r>
      <w:r w:rsidR="0098640F">
        <w:rPr>
          <w:lang w:val="hr-HR"/>
        </w:rPr>
        <w:t xml:space="preserve">na obaveze po osnovu najmova koje su izmirene na datum početka godišnjeg izvještajnog perioda u kojem prvi put primijeni tu izmjenu ili nakon njega. </w:t>
      </w:r>
    </w:p>
    <w:p w14:paraId="549574BC" w14:textId="77777777" w:rsidR="00460AA6" w:rsidRPr="00960F5F" w:rsidRDefault="00460AA6">
      <w:pPr>
        <w:pStyle w:val="SectionEnd"/>
        <w:rPr>
          <w:lang w:val="hr-HR"/>
        </w:rPr>
        <w:sectPr w:rsidR="00460AA6" w:rsidRPr="00960F5F">
          <w:headerReference w:type="even" r:id="rId35"/>
          <w:headerReference w:type="default" r:id="rId36"/>
          <w:footerReference w:type="even" r:id="rId37"/>
          <w:footerReference w:type="default" r:id="rId38"/>
          <w:pgSz w:w="11895" w:h="16834"/>
          <w:pgMar w:top="1440" w:right="1440" w:bottom="1440" w:left="1440" w:header="720" w:footer="720" w:gutter="0"/>
          <w:cols w:space="720"/>
        </w:sectPr>
      </w:pPr>
    </w:p>
    <w:p w14:paraId="04AC2E56" w14:textId="419BDF29" w:rsidR="00460AA6" w:rsidRPr="00960F5F" w:rsidRDefault="00E9667D">
      <w:pPr>
        <w:pStyle w:val="IASBSectionTitle2NonInd"/>
        <w:rPr>
          <w:lang w:val="hr-HR"/>
        </w:rPr>
      </w:pPr>
      <w:bookmarkStart w:id="16" w:name="unique_70"/>
      <w:r>
        <w:rPr>
          <w:lang w:val="hr-HR"/>
        </w:rPr>
        <w:lastRenderedPageBreak/>
        <w:t>Dodatak</w:t>
      </w:r>
      <w:r w:rsidR="00567B48" w:rsidRPr="00960F5F">
        <w:rPr>
          <w:lang w:val="hr-HR"/>
        </w:rPr>
        <w:t xml:space="preserve"> A</w:t>
      </w:r>
      <w:r w:rsidR="00567B48" w:rsidRPr="00960F5F">
        <w:rPr>
          <w:lang w:val="hr-HR"/>
        </w:rPr>
        <w:br/>
        <w:t>Defin</w:t>
      </w:r>
      <w:bookmarkEnd w:id="16"/>
      <w:r>
        <w:rPr>
          <w:lang w:val="hr-HR"/>
        </w:rPr>
        <w:t xml:space="preserve">irani pojmovi </w:t>
      </w:r>
    </w:p>
    <w:p w14:paraId="5C7A4B25" w14:textId="77777777" w:rsidR="00460AA6" w:rsidRPr="00960F5F" w:rsidRDefault="00460AA6">
      <w:pPr>
        <w:pStyle w:val="IASBNormalnpara"/>
        <w:rPr>
          <w:lang w:val="hr-HR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60AA6" w:rsidRPr="00960F5F" w14:paraId="05FFF1A4" w14:textId="77777777">
        <w:tc>
          <w:tcPr>
            <w:tcW w:w="50" w:type="pct"/>
            <w:tcBorders>
              <w:bottom w:val="single" w:sz="0" w:space="0" w:color="auto"/>
              <w:right w:val="single" w:sz="0" w:space="0" w:color="auto"/>
            </w:tcBorders>
          </w:tcPr>
          <w:p w14:paraId="5AA1A33B" w14:textId="3E588C30" w:rsidR="00460AA6" w:rsidRPr="00960F5F" w:rsidRDefault="00E9667D">
            <w:pPr>
              <w:pStyle w:val="IASBTableArial"/>
              <w:rPr>
                <w:lang w:val="hr-HR"/>
              </w:rPr>
            </w:pPr>
            <w:r>
              <w:rPr>
                <w:lang w:val="hr-HR"/>
              </w:rPr>
              <w:t>Izvršene su izmjene i dopune posljednje tačke Dodatka A</w:t>
            </w:r>
            <w:r w:rsidR="00567B48" w:rsidRPr="00960F5F">
              <w:rPr>
                <w:lang w:val="hr-HR"/>
              </w:rPr>
              <w:t>. N</w:t>
            </w:r>
            <w:r>
              <w:rPr>
                <w:lang w:val="hr-HR"/>
              </w:rPr>
              <w:t xml:space="preserve">ovi tekst je podvučen a brisani precrtan. Fusnote u odnosu na taj tekst nisu ponovljene ovdje. </w:t>
            </w:r>
          </w:p>
        </w:tc>
      </w:tr>
    </w:tbl>
    <w:p w14:paraId="46E5E6F0" w14:textId="77777777" w:rsidR="00460AA6" w:rsidRPr="00960F5F" w:rsidRDefault="00460AA6">
      <w:pPr>
        <w:pStyle w:val="IASBNormalnpara"/>
        <w:rPr>
          <w:lang w:val="hr-HR"/>
        </w:rPr>
      </w:pPr>
    </w:p>
    <w:p w14:paraId="7CD94E2A" w14:textId="77777777" w:rsidR="00460AA6" w:rsidRPr="00960F5F" w:rsidRDefault="00567B48">
      <w:pPr>
        <w:pStyle w:val="IASBNormal"/>
        <w:rPr>
          <w:lang w:val="hr-HR"/>
        </w:rPr>
      </w:pPr>
      <w:r w:rsidRPr="00960F5F">
        <w:rPr>
          <w:lang w:val="hr-HR"/>
        </w:rPr>
        <w:t>...</w:t>
      </w:r>
    </w:p>
    <w:p w14:paraId="37989E50" w14:textId="298A7DEE" w:rsidR="00460AA6" w:rsidRPr="00960F5F" w:rsidRDefault="00E9667D">
      <w:pPr>
        <w:pStyle w:val="IASBNormal"/>
        <w:rPr>
          <w:lang w:val="hr-HR"/>
        </w:rPr>
      </w:pPr>
      <w:r>
        <w:rPr>
          <w:lang w:val="hr-HR"/>
        </w:rPr>
        <w:t xml:space="preserve">Sljedeći pojmovi su definirani u tački </w:t>
      </w:r>
      <w:r w:rsidR="00567B48" w:rsidRPr="00960F5F">
        <w:rPr>
          <w:lang w:val="hr-HR"/>
        </w:rPr>
        <w:t>11</w:t>
      </w:r>
      <w:r>
        <w:rPr>
          <w:lang w:val="hr-HR"/>
        </w:rPr>
        <w:t xml:space="preserve">. MRS-a </w:t>
      </w:r>
      <w:r w:rsidR="00567B48" w:rsidRPr="00960F5F">
        <w:rPr>
          <w:lang w:val="hr-HR"/>
        </w:rPr>
        <w:t xml:space="preserve">32, </w:t>
      </w:r>
      <w:r>
        <w:rPr>
          <w:lang w:val="hr-HR"/>
        </w:rPr>
        <w:t xml:space="preserve">Dodatku A MSFI-ja </w:t>
      </w:r>
      <w:r w:rsidR="00567B48" w:rsidRPr="00960F5F">
        <w:rPr>
          <w:lang w:val="hr-HR"/>
        </w:rPr>
        <w:t>7</w:t>
      </w:r>
      <w:r w:rsidR="00567B48" w:rsidRPr="00960F5F">
        <w:rPr>
          <w:strike/>
          <w:lang w:val="hr-HR"/>
        </w:rPr>
        <w:t>,</w:t>
      </w:r>
      <w:r w:rsidR="00567B48" w:rsidRPr="00960F5F">
        <w:rPr>
          <w:lang w:val="hr-HR"/>
        </w:rPr>
        <w:t xml:space="preserve"> </w:t>
      </w:r>
      <w:r>
        <w:rPr>
          <w:u w:val="single"/>
          <w:lang w:val="hr-HR"/>
        </w:rPr>
        <w:t>ili</w:t>
      </w:r>
      <w:r w:rsidR="00567B48" w:rsidRPr="00960F5F">
        <w:rPr>
          <w:lang w:val="hr-HR"/>
        </w:rPr>
        <w:t xml:space="preserve"> </w:t>
      </w:r>
      <w:r>
        <w:rPr>
          <w:lang w:val="hr-HR"/>
        </w:rPr>
        <w:t xml:space="preserve">Dodatku </w:t>
      </w:r>
      <w:r w:rsidR="00567B48" w:rsidRPr="00960F5F">
        <w:rPr>
          <w:lang w:val="hr-HR"/>
        </w:rPr>
        <w:t xml:space="preserve">A </w:t>
      </w:r>
      <w:r>
        <w:rPr>
          <w:lang w:val="hr-HR"/>
        </w:rPr>
        <w:t>MSFI-j</w:t>
      </w:r>
      <w:r w:rsidR="001B019F">
        <w:rPr>
          <w:lang w:val="hr-HR"/>
        </w:rPr>
        <w:t>a</w:t>
      </w:r>
      <w:r w:rsidR="00567B48" w:rsidRPr="00960F5F">
        <w:rPr>
          <w:lang w:val="hr-HR"/>
        </w:rPr>
        <w:t xml:space="preserve"> 13 </w:t>
      </w:r>
      <w:r>
        <w:rPr>
          <w:strike/>
          <w:lang w:val="hr-HR"/>
        </w:rPr>
        <w:t xml:space="preserve">ili Dodatku </w:t>
      </w:r>
      <w:r w:rsidR="00567B48" w:rsidRPr="00960F5F">
        <w:rPr>
          <w:strike/>
          <w:lang w:val="hr-HR"/>
        </w:rPr>
        <w:t xml:space="preserve">A </w:t>
      </w:r>
      <w:r>
        <w:rPr>
          <w:strike/>
          <w:lang w:val="hr-HR"/>
        </w:rPr>
        <w:t>MSFI-ja</w:t>
      </w:r>
      <w:r w:rsidR="00567B48" w:rsidRPr="00960F5F">
        <w:rPr>
          <w:strike/>
          <w:lang w:val="hr-HR"/>
        </w:rPr>
        <w:t xml:space="preserve"> 15 </w:t>
      </w:r>
      <w:r>
        <w:rPr>
          <w:lang w:val="hr-HR"/>
        </w:rPr>
        <w:t>i ko</w:t>
      </w:r>
      <w:r w:rsidR="00D963A9">
        <w:rPr>
          <w:lang w:val="hr-HR"/>
        </w:rPr>
        <w:t>r</w:t>
      </w:r>
      <w:r>
        <w:rPr>
          <w:lang w:val="hr-HR"/>
        </w:rPr>
        <w:t>iste se u ovom Standardu sa značenjem određenim u MRS-u</w:t>
      </w:r>
      <w:r w:rsidR="00567B48" w:rsidRPr="00960F5F">
        <w:rPr>
          <w:lang w:val="hr-HR"/>
        </w:rPr>
        <w:t xml:space="preserve"> 32, </w:t>
      </w:r>
      <w:r>
        <w:rPr>
          <w:lang w:val="hr-HR"/>
        </w:rPr>
        <w:t>MSFI-ju</w:t>
      </w:r>
      <w:r w:rsidR="00567B48" w:rsidRPr="00960F5F">
        <w:rPr>
          <w:lang w:val="hr-HR"/>
        </w:rPr>
        <w:t xml:space="preserve"> 7</w:t>
      </w:r>
      <w:r w:rsidR="00567B48" w:rsidRPr="00960F5F">
        <w:rPr>
          <w:strike/>
          <w:lang w:val="hr-HR"/>
        </w:rPr>
        <w:t>,</w:t>
      </w:r>
      <w:r w:rsidR="00567B48" w:rsidRPr="00960F5F">
        <w:rPr>
          <w:lang w:val="hr-HR"/>
        </w:rPr>
        <w:t xml:space="preserve"> </w:t>
      </w:r>
      <w:r>
        <w:rPr>
          <w:u w:val="single"/>
          <w:lang w:val="hr-HR"/>
        </w:rPr>
        <w:t>ili</w:t>
      </w:r>
      <w:r w:rsidR="00567B48" w:rsidRPr="00960F5F">
        <w:rPr>
          <w:u w:val="single"/>
          <w:lang w:val="hr-HR"/>
        </w:rPr>
        <w:t xml:space="preserve"> </w:t>
      </w:r>
      <w:r>
        <w:rPr>
          <w:lang w:val="hr-HR"/>
        </w:rPr>
        <w:t>MSFI-ju</w:t>
      </w:r>
      <w:r w:rsidR="001B019F">
        <w:rPr>
          <w:lang w:val="hr-HR"/>
        </w:rPr>
        <w:t xml:space="preserve"> 13</w:t>
      </w:r>
      <w:r w:rsidR="00567B48" w:rsidRPr="00960F5F">
        <w:rPr>
          <w:strike/>
          <w:lang w:val="hr-HR"/>
        </w:rPr>
        <w:t xml:space="preserve"> </w:t>
      </w:r>
      <w:r>
        <w:rPr>
          <w:strike/>
          <w:lang w:val="hr-HR"/>
        </w:rPr>
        <w:t>ili MSFI-ju 15</w:t>
      </w:r>
      <w:r w:rsidR="00567B48" w:rsidRPr="00960F5F">
        <w:rPr>
          <w:lang w:val="hr-HR"/>
        </w:rPr>
        <w:t>:</w:t>
      </w:r>
    </w:p>
    <w:p w14:paraId="74FE430B" w14:textId="778EB304" w:rsidR="00460AA6" w:rsidRPr="00960F5F" w:rsidRDefault="00567B48">
      <w:pPr>
        <w:pStyle w:val="IASBNormalL1"/>
        <w:rPr>
          <w:lang w:val="hr-HR"/>
        </w:rPr>
      </w:pPr>
      <w:r w:rsidRPr="00960F5F">
        <w:rPr>
          <w:lang w:val="hr-HR"/>
        </w:rPr>
        <w:t>(a)</w:t>
      </w:r>
      <w:r w:rsidRPr="00960F5F">
        <w:rPr>
          <w:lang w:val="hr-HR"/>
        </w:rPr>
        <w:tab/>
      </w:r>
      <w:r w:rsidR="0057301C">
        <w:rPr>
          <w:lang w:val="hr-HR"/>
        </w:rPr>
        <w:t xml:space="preserve">kreditni rizik; </w:t>
      </w:r>
    </w:p>
    <w:p w14:paraId="595EF0FC" w14:textId="70E5E117" w:rsidR="00460AA6" w:rsidRPr="00960F5F" w:rsidRDefault="00567B48">
      <w:pPr>
        <w:pStyle w:val="IASBNormalL1"/>
        <w:rPr>
          <w:lang w:val="hr-HR"/>
        </w:rPr>
      </w:pPr>
      <w:r w:rsidRPr="00960F5F">
        <w:rPr>
          <w:lang w:val="hr-HR"/>
        </w:rPr>
        <w:t>(b)</w:t>
      </w:r>
      <w:r w:rsidRPr="00960F5F">
        <w:rPr>
          <w:lang w:val="hr-HR"/>
        </w:rPr>
        <w:tab/>
      </w:r>
      <w:r w:rsidR="0057301C">
        <w:rPr>
          <w:lang w:val="hr-HR"/>
        </w:rPr>
        <w:t xml:space="preserve">vlasnički instrument; </w:t>
      </w:r>
    </w:p>
    <w:p w14:paraId="2A4FD448" w14:textId="434B99BA" w:rsidR="00460AA6" w:rsidRPr="00960F5F" w:rsidRDefault="00567B48">
      <w:pPr>
        <w:pStyle w:val="IASBNormalL1"/>
        <w:rPr>
          <w:lang w:val="hr-HR"/>
        </w:rPr>
      </w:pPr>
      <w:r w:rsidRPr="00960F5F">
        <w:rPr>
          <w:lang w:val="hr-HR"/>
        </w:rPr>
        <w:t>(c)</w:t>
      </w:r>
      <w:r w:rsidRPr="00960F5F">
        <w:rPr>
          <w:lang w:val="hr-HR"/>
        </w:rPr>
        <w:tab/>
        <w:t>f</w:t>
      </w:r>
      <w:r w:rsidR="0057301C">
        <w:rPr>
          <w:lang w:val="hr-HR"/>
        </w:rPr>
        <w:t xml:space="preserve">er vrijednost; </w:t>
      </w:r>
    </w:p>
    <w:p w14:paraId="538F94BD" w14:textId="441AA857" w:rsidR="00460AA6" w:rsidRPr="00960F5F" w:rsidRDefault="00567B48">
      <w:pPr>
        <w:pStyle w:val="IASBNormalL1"/>
        <w:rPr>
          <w:lang w:val="hr-HR"/>
        </w:rPr>
      </w:pPr>
      <w:r w:rsidRPr="00960F5F">
        <w:rPr>
          <w:lang w:val="hr-HR"/>
        </w:rPr>
        <w:t>(d)</w:t>
      </w:r>
      <w:r w:rsidRPr="00960F5F">
        <w:rPr>
          <w:lang w:val="hr-HR"/>
        </w:rPr>
        <w:tab/>
        <w:t>fin</w:t>
      </w:r>
      <w:r w:rsidR="0057301C">
        <w:rPr>
          <w:lang w:val="hr-HR"/>
        </w:rPr>
        <w:t xml:space="preserve">ansijska imovina; </w:t>
      </w:r>
    </w:p>
    <w:p w14:paraId="4649F48C" w14:textId="7F4F0550" w:rsidR="00460AA6" w:rsidRPr="00960F5F" w:rsidRDefault="00567B48">
      <w:pPr>
        <w:pStyle w:val="IASBNormalL1"/>
        <w:rPr>
          <w:lang w:val="hr-HR"/>
        </w:rPr>
      </w:pPr>
      <w:r w:rsidRPr="00960F5F">
        <w:rPr>
          <w:lang w:val="hr-HR"/>
        </w:rPr>
        <w:t>(e)</w:t>
      </w:r>
      <w:r w:rsidRPr="00960F5F">
        <w:rPr>
          <w:lang w:val="hr-HR"/>
        </w:rPr>
        <w:tab/>
        <w:t>fina</w:t>
      </w:r>
      <w:r w:rsidR="0057301C">
        <w:rPr>
          <w:lang w:val="hr-HR"/>
        </w:rPr>
        <w:t>nsijski instrument</w:t>
      </w:r>
      <w:r w:rsidRPr="00960F5F">
        <w:rPr>
          <w:lang w:val="hr-HR"/>
        </w:rPr>
        <w:t>;</w:t>
      </w:r>
      <w:r w:rsidRPr="00960F5F">
        <w:rPr>
          <w:u w:val="single"/>
          <w:lang w:val="hr-HR"/>
        </w:rPr>
        <w:t xml:space="preserve"> </w:t>
      </w:r>
      <w:r w:rsidR="0057301C">
        <w:rPr>
          <w:u w:val="single"/>
          <w:lang w:val="hr-HR"/>
        </w:rPr>
        <w:t>i</w:t>
      </w:r>
    </w:p>
    <w:p w14:paraId="1E376931" w14:textId="0D9F7CC3" w:rsidR="00460AA6" w:rsidRPr="00960F5F" w:rsidRDefault="00567B48">
      <w:pPr>
        <w:pStyle w:val="IASBNormalL1"/>
        <w:rPr>
          <w:lang w:val="hr-HR"/>
        </w:rPr>
      </w:pPr>
      <w:r w:rsidRPr="00960F5F">
        <w:rPr>
          <w:lang w:val="hr-HR"/>
        </w:rPr>
        <w:t>(f)</w:t>
      </w:r>
      <w:r w:rsidRPr="00960F5F">
        <w:rPr>
          <w:lang w:val="hr-HR"/>
        </w:rPr>
        <w:tab/>
        <w:t>finan</w:t>
      </w:r>
      <w:r w:rsidR="0057301C">
        <w:rPr>
          <w:lang w:val="hr-HR"/>
        </w:rPr>
        <w:t>sijska obaveza</w:t>
      </w:r>
      <w:r w:rsidRPr="00960F5F">
        <w:rPr>
          <w:u w:val="single"/>
          <w:lang w:val="hr-HR"/>
        </w:rPr>
        <w:t>.</w:t>
      </w:r>
      <w:r w:rsidRPr="00960F5F">
        <w:rPr>
          <w:strike/>
          <w:lang w:val="hr-HR"/>
        </w:rPr>
        <w:t>;</w:t>
      </w:r>
    </w:p>
    <w:p w14:paraId="4ECB3778" w14:textId="234CCD02" w:rsidR="00460AA6" w:rsidRPr="00960F5F" w:rsidRDefault="00567B48">
      <w:pPr>
        <w:pStyle w:val="IASBNormalL1"/>
        <w:rPr>
          <w:lang w:val="hr-HR"/>
        </w:rPr>
      </w:pPr>
      <w:r w:rsidRPr="00960F5F">
        <w:rPr>
          <w:strike/>
          <w:lang w:val="hr-HR"/>
        </w:rPr>
        <w:t>(g)</w:t>
      </w:r>
      <w:r w:rsidRPr="00960F5F">
        <w:rPr>
          <w:lang w:val="hr-HR"/>
        </w:rPr>
        <w:tab/>
      </w:r>
      <w:r w:rsidRPr="00960F5F">
        <w:rPr>
          <w:strike/>
          <w:lang w:val="hr-HR"/>
        </w:rPr>
        <w:t>tran</w:t>
      </w:r>
      <w:r w:rsidR="0057301C">
        <w:rPr>
          <w:strike/>
          <w:lang w:val="hr-HR"/>
        </w:rPr>
        <w:t>sakcijska cijena</w:t>
      </w:r>
      <w:r w:rsidRPr="00960F5F">
        <w:rPr>
          <w:strike/>
          <w:lang w:val="hr-HR"/>
        </w:rPr>
        <w:t>.</w:t>
      </w:r>
    </w:p>
    <w:p w14:paraId="651BD90C" w14:textId="77777777" w:rsidR="00460AA6" w:rsidRPr="00960F5F" w:rsidRDefault="00460AA6">
      <w:pPr>
        <w:pStyle w:val="SectionEnd"/>
        <w:rPr>
          <w:lang w:val="hr-HR"/>
        </w:rPr>
        <w:sectPr w:rsidR="00460AA6" w:rsidRPr="00960F5F">
          <w:headerReference w:type="even" r:id="rId39"/>
          <w:headerReference w:type="default" r:id="rId40"/>
          <w:footerReference w:type="even" r:id="rId41"/>
          <w:footerReference w:type="default" r:id="rId42"/>
          <w:pgSz w:w="11895" w:h="16834"/>
          <w:pgMar w:top="1440" w:right="1440" w:bottom="1440" w:left="1440" w:header="720" w:footer="720" w:gutter="0"/>
          <w:cols w:space="720"/>
        </w:sectPr>
      </w:pPr>
    </w:p>
    <w:p w14:paraId="130065E7" w14:textId="5CC8FC5F" w:rsidR="00460AA6" w:rsidRPr="00960F5F" w:rsidRDefault="0057301C">
      <w:pPr>
        <w:pStyle w:val="IASBSectionTitle2NonInd"/>
        <w:rPr>
          <w:lang w:val="hr-HR"/>
        </w:rPr>
      </w:pPr>
      <w:bookmarkStart w:id="17" w:name="unique_10"/>
      <w:r>
        <w:rPr>
          <w:lang w:val="hr-HR"/>
        </w:rPr>
        <w:lastRenderedPageBreak/>
        <w:t>Izmjene i dopune</w:t>
      </w:r>
      <w:r w:rsidR="00567B48" w:rsidRPr="00960F5F">
        <w:rPr>
          <w:lang w:val="hr-HR"/>
        </w:rPr>
        <w:br/>
      </w:r>
      <w:r w:rsidR="00D963A9">
        <w:rPr>
          <w:lang w:val="hr-HR"/>
        </w:rPr>
        <w:t>MSFI</w:t>
      </w:r>
      <w:r w:rsidR="00C63580">
        <w:rPr>
          <w:lang w:val="hr-HR"/>
        </w:rPr>
        <w:t>-ja</w:t>
      </w:r>
      <w:r w:rsidR="00567B48" w:rsidRPr="00960F5F">
        <w:rPr>
          <w:lang w:val="hr-HR"/>
        </w:rPr>
        <w:t xml:space="preserve"> 10 </w:t>
      </w:r>
      <w:r w:rsidR="00C63580">
        <w:rPr>
          <w:i/>
          <w:lang w:val="hr-HR"/>
        </w:rPr>
        <w:t xml:space="preserve">Konsolidirani financijski izvještaji </w:t>
      </w:r>
      <w:bookmarkEnd w:id="17"/>
    </w:p>
    <w:p w14:paraId="1151F822" w14:textId="77777777" w:rsidR="00460AA6" w:rsidRPr="00960F5F" w:rsidRDefault="00460AA6">
      <w:pPr>
        <w:pStyle w:val="IASBNormalnpara"/>
        <w:rPr>
          <w:lang w:val="hr-HR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60AA6" w:rsidRPr="00960F5F" w14:paraId="39A95428" w14:textId="77777777">
        <w:tc>
          <w:tcPr>
            <w:tcW w:w="50" w:type="pct"/>
            <w:tcBorders>
              <w:bottom w:val="single" w:sz="0" w:space="0" w:color="auto"/>
              <w:right w:val="single" w:sz="0" w:space="0" w:color="auto"/>
            </w:tcBorders>
          </w:tcPr>
          <w:p w14:paraId="10A8E016" w14:textId="573E6278" w:rsidR="00460AA6" w:rsidRPr="00960F5F" w:rsidRDefault="00C63580">
            <w:pPr>
              <w:pStyle w:val="IASBTableArial"/>
              <w:rPr>
                <w:lang w:val="hr-HR"/>
              </w:rPr>
            </w:pPr>
            <w:r>
              <w:rPr>
                <w:lang w:val="hr-HR"/>
              </w:rPr>
              <w:t xml:space="preserve">Izvršene su izmjene i dopune tačke </w:t>
            </w:r>
            <w:r w:rsidR="00567B48" w:rsidRPr="00960F5F">
              <w:rPr>
                <w:lang w:val="hr-HR"/>
              </w:rPr>
              <w:t>B74</w:t>
            </w:r>
            <w:r>
              <w:rPr>
                <w:lang w:val="hr-HR"/>
              </w:rPr>
              <w:t xml:space="preserve">. Tačke </w:t>
            </w:r>
            <w:r w:rsidR="00567B48" w:rsidRPr="00960F5F">
              <w:rPr>
                <w:lang w:val="hr-HR"/>
              </w:rPr>
              <w:t>B73</w:t>
            </w:r>
            <w:r>
              <w:rPr>
                <w:lang w:val="hr-HR"/>
              </w:rPr>
              <w:t>. i B</w:t>
            </w:r>
            <w:r w:rsidR="00567B48" w:rsidRPr="00960F5F">
              <w:rPr>
                <w:lang w:val="hr-HR"/>
              </w:rPr>
              <w:t>75</w:t>
            </w:r>
            <w:r>
              <w:rPr>
                <w:lang w:val="hr-HR"/>
              </w:rPr>
              <w:t xml:space="preserve">. nisu pretrpjele nikakve izmjene, ali su uvrštene ovdje zbog bolje preglednosti. Novi tekst je podvučen a brisani precrtan. </w:t>
            </w:r>
          </w:p>
        </w:tc>
      </w:tr>
    </w:tbl>
    <w:p w14:paraId="300E43CC" w14:textId="77777777" w:rsidR="00460AA6" w:rsidRPr="00960F5F" w:rsidRDefault="00460AA6">
      <w:pPr>
        <w:pStyle w:val="IASBNormalnpara"/>
        <w:rPr>
          <w:lang w:val="hr-HR"/>
        </w:rPr>
      </w:pPr>
    </w:p>
    <w:p w14:paraId="2E4BA49B" w14:textId="4FB0B465" w:rsidR="00460AA6" w:rsidRPr="00960F5F" w:rsidRDefault="00C63580">
      <w:pPr>
        <w:pStyle w:val="IASBSectionTitle1NonInd"/>
        <w:rPr>
          <w:lang w:val="hr-HR"/>
        </w:rPr>
      </w:pPr>
      <w:r>
        <w:rPr>
          <w:lang w:val="hr-HR"/>
        </w:rPr>
        <w:t>Procjen</w:t>
      </w:r>
      <w:r w:rsidR="00005E55">
        <w:rPr>
          <w:lang w:val="hr-HR"/>
        </w:rPr>
        <w:t>a</w:t>
      </w:r>
      <w:r>
        <w:rPr>
          <w:lang w:val="hr-HR"/>
        </w:rPr>
        <w:t xml:space="preserve"> kontrole </w:t>
      </w:r>
    </w:p>
    <w:p w14:paraId="26F68A54" w14:textId="77777777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ab/>
        <w:t>...</w:t>
      </w:r>
    </w:p>
    <w:p w14:paraId="5B257EF2" w14:textId="23E12E6F" w:rsidR="00460AA6" w:rsidRPr="00960F5F" w:rsidRDefault="00C63580">
      <w:pPr>
        <w:pStyle w:val="IASBSectionTitle2Ind"/>
        <w:rPr>
          <w:lang w:val="hr-HR"/>
        </w:rPr>
      </w:pPr>
      <w:bookmarkStart w:id="18" w:name="unique_90"/>
      <w:r>
        <w:rPr>
          <w:lang w:val="hr-HR"/>
        </w:rPr>
        <w:t xml:space="preserve">Odnos s drugim strankama </w:t>
      </w:r>
      <w:bookmarkEnd w:id="18"/>
    </w:p>
    <w:p w14:paraId="4884003A" w14:textId="2F08954F" w:rsidR="00460AA6" w:rsidRPr="00960F5F" w:rsidRDefault="00567B48">
      <w:pPr>
        <w:pStyle w:val="IASBNormalnpara"/>
        <w:rPr>
          <w:color w:val="808080" w:themeColor="background1" w:themeShade="80"/>
          <w:lang w:val="hr-HR"/>
        </w:rPr>
      </w:pPr>
      <w:r w:rsidRPr="00960F5F">
        <w:rPr>
          <w:color w:val="808080" w:themeColor="background1" w:themeShade="80"/>
          <w:lang w:val="hr-HR"/>
        </w:rPr>
        <w:t>B73</w:t>
      </w:r>
      <w:r w:rsidR="00C63580">
        <w:rPr>
          <w:color w:val="808080" w:themeColor="background1" w:themeShade="80"/>
          <w:lang w:val="hr-HR"/>
        </w:rPr>
        <w:t>.</w:t>
      </w:r>
      <w:r w:rsidRPr="00960F5F">
        <w:rPr>
          <w:color w:val="808080" w:themeColor="background1" w:themeShade="80"/>
          <w:lang w:val="hr-HR"/>
        </w:rPr>
        <w:tab/>
      </w:r>
      <w:r w:rsidR="00C63580">
        <w:rPr>
          <w:color w:val="808080" w:themeColor="background1" w:themeShade="80"/>
          <w:lang w:val="hr-HR"/>
        </w:rPr>
        <w:t>Prilikom procjene kontrole, investitor mora razmotriti prirodu njegovog odnosa s drugim strankama i da li te druge stranke djeluju u ime investitora (npr. oni su 'de facto agenti'). Određenje da li druge stranke djeluju kao de facto agenti zahtjeva prosudbu, promatrajući ne samo prirodu veze nego i kako te stranke djeluju između njih i s investitorom</w:t>
      </w:r>
      <w:r w:rsidRPr="00960F5F">
        <w:rPr>
          <w:color w:val="808080" w:themeColor="background1" w:themeShade="80"/>
          <w:lang w:val="hr-HR"/>
        </w:rPr>
        <w:t>.</w:t>
      </w:r>
    </w:p>
    <w:p w14:paraId="0B0983A5" w14:textId="0D8B1BC5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>B74</w:t>
      </w:r>
      <w:r w:rsidR="00C63580">
        <w:rPr>
          <w:lang w:val="hr-HR"/>
        </w:rPr>
        <w:t>.</w:t>
      </w:r>
      <w:r w:rsidRPr="00960F5F">
        <w:rPr>
          <w:lang w:val="hr-HR"/>
        </w:rPr>
        <w:tab/>
      </w:r>
      <w:r w:rsidR="00C63580">
        <w:rPr>
          <w:lang w:val="hr-HR"/>
        </w:rPr>
        <w:t>Takav odnos ne treba uključivati u ugovorne odredbe. Stranka je de facto agent kad investitor ima</w:t>
      </w:r>
      <w:r w:rsidR="00C63580" w:rsidRPr="00C63580">
        <w:rPr>
          <w:strike/>
          <w:lang w:val="hr-HR"/>
        </w:rPr>
        <w:t>, ili oni koji usmjeravaju aktivnosti investitora imaju,</w:t>
      </w:r>
      <w:r w:rsidR="00C63580">
        <w:rPr>
          <w:lang w:val="hr-HR"/>
        </w:rPr>
        <w:t xml:space="preserve"> sposobnost usmjerenja te stranke da djeluje u ime investitora</w:t>
      </w:r>
      <w:r w:rsidRPr="00960F5F">
        <w:rPr>
          <w:lang w:val="hr-HR"/>
        </w:rPr>
        <w:t xml:space="preserve">. </w:t>
      </w:r>
      <w:r w:rsidR="001A1A6F">
        <w:rPr>
          <w:u w:val="single"/>
          <w:lang w:val="hr-HR"/>
        </w:rPr>
        <w:t>Stranka bi mogla biti de facto agent i kada oni koji usmjeravaju aktivnosti investitora imaju sposobnost usmjerenja te stranke da djeluje u ime investitora</w:t>
      </w:r>
      <w:r w:rsidRPr="00960F5F">
        <w:rPr>
          <w:u w:val="single"/>
          <w:lang w:val="hr-HR"/>
        </w:rPr>
        <w:t xml:space="preserve">. </w:t>
      </w:r>
      <w:r w:rsidR="001A1A6F">
        <w:rPr>
          <w:strike/>
          <w:lang w:val="hr-HR"/>
        </w:rPr>
        <w:t>U ovim okolnostima, i</w:t>
      </w:r>
      <w:r w:rsidR="001A1A6F" w:rsidRPr="001A1A6F">
        <w:rPr>
          <w:u w:val="single"/>
          <w:lang w:val="hr-HR"/>
        </w:rPr>
        <w:t>I</w:t>
      </w:r>
      <w:r w:rsidR="001A1A6F">
        <w:rPr>
          <w:lang w:val="hr-HR"/>
        </w:rPr>
        <w:t>n</w:t>
      </w:r>
      <w:r w:rsidRPr="00960F5F">
        <w:rPr>
          <w:lang w:val="hr-HR"/>
        </w:rPr>
        <w:t>vest</w:t>
      </w:r>
      <w:r w:rsidR="001A1A6F">
        <w:rPr>
          <w:lang w:val="hr-HR"/>
        </w:rPr>
        <w:t>it</w:t>
      </w:r>
      <w:r w:rsidRPr="00960F5F">
        <w:rPr>
          <w:lang w:val="hr-HR"/>
        </w:rPr>
        <w:t xml:space="preserve">or </w:t>
      </w:r>
      <w:r w:rsidR="001A1A6F">
        <w:rPr>
          <w:lang w:val="hr-HR"/>
        </w:rPr>
        <w:t xml:space="preserve">će razmotriti prava njegovog de facto agenta na donošenje odluka i njegovu indirektnu izloženost, ili prava, na varijabilne povrate kroz de facto agenta zajedno sa svojim pravima prilikom procjene kontrole nad subjektom u koji je izvršeno ulaganje. </w:t>
      </w:r>
    </w:p>
    <w:p w14:paraId="070C0ADD" w14:textId="5C2ACC2D" w:rsidR="00460AA6" w:rsidRPr="00960F5F" w:rsidRDefault="00567B48">
      <w:pPr>
        <w:pStyle w:val="IASBNormalnpara"/>
        <w:rPr>
          <w:color w:val="808080" w:themeColor="background1" w:themeShade="80"/>
          <w:lang w:val="hr-HR"/>
        </w:rPr>
      </w:pPr>
      <w:r w:rsidRPr="00960F5F">
        <w:rPr>
          <w:color w:val="808080" w:themeColor="background1" w:themeShade="80"/>
          <w:lang w:val="hr-HR"/>
        </w:rPr>
        <w:t>B75</w:t>
      </w:r>
      <w:r w:rsidR="001A1A6F">
        <w:rPr>
          <w:color w:val="808080" w:themeColor="background1" w:themeShade="80"/>
          <w:lang w:val="hr-HR"/>
        </w:rPr>
        <w:t>.</w:t>
      </w:r>
      <w:r w:rsidRPr="00960F5F">
        <w:rPr>
          <w:color w:val="808080" w:themeColor="background1" w:themeShade="80"/>
          <w:lang w:val="hr-HR"/>
        </w:rPr>
        <w:tab/>
      </w:r>
      <w:r w:rsidR="001A1A6F">
        <w:rPr>
          <w:color w:val="808080" w:themeColor="background1" w:themeShade="80"/>
          <w:lang w:val="hr-HR"/>
        </w:rPr>
        <w:t>Sljedeći primjeri su primjeri takvih drugih stranaka koje, po prirodi svog odnosa, mogu djelovati kao de facto agenti za investitora</w:t>
      </w:r>
      <w:r w:rsidRPr="00960F5F">
        <w:rPr>
          <w:color w:val="808080" w:themeColor="background1" w:themeShade="80"/>
          <w:lang w:val="hr-HR"/>
        </w:rPr>
        <w:t>:</w:t>
      </w:r>
    </w:p>
    <w:p w14:paraId="7409836B" w14:textId="1549B891" w:rsidR="00460AA6" w:rsidRPr="00960F5F" w:rsidRDefault="00567B48">
      <w:pPr>
        <w:pStyle w:val="IASBNormalnparaL1"/>
        <w:rPr>
          <w:color w:val="808080" w:themeColor="background1" w:themeShade="80"/>
          <w:lang w:val="hr-HR"/>
        </w:rPr>
      </w:pPr>
      <w:r w:rsidRPr="00960F5F">
        <w:rPr>
          <w:color w:val="808080" w:themeColor="background1" w:themeShade="80"/>
          <w:lang w:val="hr-HR"/>
        </w:rPr>
        <w:t>(a)</w:t>
      </w:r>
      <w:r w:rsidRPr="00960F5F">
        <w:rPr>
          <w:color w:val="808080" w:themeColor="background1" w:themeShade="80"/>
          <w:lang w:val="hr-HR"/>
        </w:rPr>
        <w:tab/>
      </w:r>
      <w:r w:rsidR="001A1A6F">
        <w:rPr>
          <w:color w:val="808080" w:themeColor="background1" w:themeShade="80"/>
          <w:lang w:val="hr-HR"/>
        </w:rPr>
        <w:t>povezane stranke investitora;</w:t>
      </w:r>
    </w:p>
    <w:p w14:paraId="2C03967C" w14:textId="2A5F0A5A" w:rsidR="00460AA6" w:rsidRPr="00960F5F" w:rsidRDefault="00567B48">
      <w:pPr>
        <w:pStyle w:val="IASBNormalnparaL1"/>
        <w:rPr>
          <w:color w:val="808080" w:themeColor="background1" w:themeShade="80"/>
          <w:lang w:val="hr-HR"/>
        </w:rPr>
      </w:pPr>
      <w:r w:rsidRPr="00960F5F">
        <w:rPr>
          <w:color w:val="808080" w:themeColor="background1" w:themeShade="80"/>
          <w:lang w:val="hr-HR"/>
        </w:rPr>
        <w:t>(b)</w:t>
      </w:r>
      <w:r w:rsidRPr="00960F5F">
        <w:rPr>
          <w:color w:val="808080" w:themeColor="background1" w:themeShade="80"/>
          <w:lang w:val="hr-HR"/>
        </w:rPr>
        <w:tab/>
      </w:r>
      <w:r w:rsidR="001A1A6F">
        <w:rPr>
          <w:color w:val="808080" w:themeColor="background1" w:themeShade="80"/>
          <w:lang w:val="hr-HR"/>
        </w:rPr>
        <w:t xml:space="preserve">stranka koja je primila svoj udio u subjektu u koji je izvršeno ulaganje kao doprinos ili zajam od investitora; </w:t>
      </w:r>
    </w:p>
    <w:p w14:paraId="20B0DB34" w14:textId="61D86BAA" w:rsidR="00460AA6" w:rsidRPr="00960F5F" w:rsidRDefault="00567B48">
      <w:pPr>
        <w:pStyle w:val="IASBNormalnparaL1"/>
        <w:rPr>
          <w:color w:val="808080" w:themeColor="background1" w:themeShade="80"/>
          <w:lang w:val="hr-HR"/>
        </w:rPr>
      </w:pPr>
      <w:r w:rsidRPr="00960F5F">
        <w:rPr>
          <w:color w:val="808080" w:themeColor="background1" w:themeShade="80"/>
          <w:lang w:val="hr-HR"/>
        </w:rPr>
        <w:t>(c)</w:t>
      </w:r>
      <w:r w:rsidRPr="00960F5F">
        <w:rPr>
          <w:color w:val="808080" w:themeColor="background1" w:themeShade="80"/>
          <w:lang w:val="hr-HR"/>
        </w:rPr>
        <w:tab/>
      </w:r>
      <w:r w:rsidR="001A1A6F">
        <w:rPr>
          <w:color w:val="808080" w:themeColor="background1" w:themeShade="80"/>
          <w:lang w:val="hr-HR"/>
        </w:rPr>
        <w:t xml:space="preserve">stranka koja je pristala da neće prodavati, prenijeti ili opteretiti svoj udio u subjektu u koji je izvršeno ulaganje bez prethodnog odobrenja investitora (osim u situacijama u kojima investitor i druge stranke imaju pravo prethodne suglasnosti i prava su temeljena međusobno dogovorenim uvjetima po volji neovisnih stranaka); </w:t>
      </w:r>
    </w:p>
    <w:p w14:paraId="3BD630A8" w14:textId="6C11D2D5" w:rsidR="00460AA6" w:rsidRPr="00960F5F" w:rsidRDefault="00567B48">
      <w:pPr>
        <w:pStyle w:val="IASBNormalnparaL1"/>
        <w:rPr>
          <w:color w:val="808080" w:themeColor="background1" w:themeShade="80"/>
          <w:lang w:val="hr-HR"/>
        </w:rPr>
      </w:pPr>
      <w:r w:rsidRPr="00960F5F">
        <w:rPr>
          <w:color w:val="808080" w:themeColor="background1" w:themeShade="80"/>
          <w:lang w:val="hr-HR"/>
        </w:rPr>
        <w:t>(d)</w:t>
      </w:r>
      <w:r w:rsidRPr="00960F5F">
        <w:rPr>
          <w:color w:val="808080" w:themeColor="background1" w:themeShade="80"/>
          <w:lang w:val="hr-HR"/>
        </w:rPr>
        <w:tab/>
      </w:r>
      <w:r w:rsidR="001A1A6F">
        <w:rPr>
          <w:color w:val="808080" w:themeColor="background1" w:themeShade="80"/>
          <w:lang w:val="hr-HR"/>
        </w:rPr>
        <w:t xml:space="preserve">stranka koja ne može financirati svoje operacije bez podređene financijske potpore investitora; </w:t>
      </w:r>
    </w:p>
    <w:p w14:paraId="231583E9" w14:textId="0ECA0CB5" w:rsidR="00460AA6" w:rsidRPr="00960F5F" w:rsidRDefault="00567B48">
      <w:pPr>
        <w:pStyle w:val="IASBNormalnparaL1"/>
        <w:rPr>
          <w:color w:val="808080" w:themeColor="background1" w:themeShade="80"/>
          <w:lang w:val="hr-HR"/>
        </w:rPr>
      </w:pPr>
      <w:r w:rsidRPr="00960F5F">
        <w:rPr>
          <w:color w:val="808080" w:themeColor="background1" w:themeShade="80"/>
          <w:lang w:val="hr-HR"/>
        </w:rPr>
        <w:t>(e)</w:t>
      </w:r>
      <w:r w:rsidRPr="00960F5F">
        <w:rPr>
          <w:color w:val="808080" w:themeColor="background1" w:themeShade="80"/>
          <w:lang w:val="hr-HR"/>
        </w:rPr>
        <w:tab/>
      </w:r>
      <w:r w:rsidR="001A1A6F">
        <w:rPr>
          <w:color w:val="808080" w:themeColor="background1" w:themeShade="80"/>
          <w:lang w:val="hr-HR"/>
        </w:rPr>
        <w:t xml:space="preserve">subjekat u koji je izvršeno ulaganje za koje je većina članova upravnog tijela ili članovi ključnog menadžmenta isti kao oni kod investitora; </w:t>
      </w:r>
    </w:p>
    <w:p w14:paraId="0B72442F" w14:textId="309EECDA" w:rsidR="00460AA6" w:rsidRPr="00960F5F" w:rsidRDefault="00567B48">
      <w:pPr>
        <w:pStyle w:val="IASBNormalnparaL1"/>
        <w:rPr>
          <w:color w:val="808080" w:themeColor="background1" w:themeShade="80"/>
          <w:lang w:val="hr-HR"/>
        </w:rPr>
      </w:pPr>
      <w:r w:rsidRPr="00960F5F">
        <w:rPr>
          <w:color w:val="808080" w:themeColor="background1" w:themeShade="80"/>
          <w:lang w:val="hr-HR"/>
        </w:rPr>
        <w:t>(f)</w:t>
      </w:r>
      <w:r w:rsidRPr="00960F5F">
        <w:rPr>
          <w:color w:val="808080" w:themeColor="background1" w:themeShade="80"/>
          <w:lang w:val="hr-HR"/>
        </w:rPr>
        <w:tab/>
      </w:r>
      <w:r w:rsidR="001A1A6F">
        <w:rPr>
          <w:color w:val="808080" w:themeColor="background1" w:themeShade="80"/>
          <w:lang w:val="hr-HR"/>
        </w:rPr>
        <w:t xml:space="preserve">stranka koja ima uske poslovne veze s investitorom, kao što je veza između pružatelja profesionalnih usluga i jednog od njegovih značajnijih klijenata. </w:t>
      </w:r>
    </w:p>
    <w:p w14:paraId="39AE7DF1" w14:textId="77777777" w:rsidR="00460AA6" w:rsidRPr="00960F5F" w:rsidRDefault="00460AA6">
      <w:pPr>
        <w:pStyle w:val="SectionEnd"/>
        <w:rPr>
          <w:lang w:val="hr-HR"/>
        </w:rPr>
        <w:sectPr w:rsidR="00460AA6" w:rsidRPr="00960F5F">
          <w:headerReference w:type="even" r:id="rId43"/>
          <w:headerReference w:type="default" r:id="rId44"/>
          <w:footerReference w:type="even" r:id="rId45"/>
          <w:footerReference w:type="default" r:id="rId46"/>
          <w:pgSz w:w="11895" w:h="16834"/>
          <w:pgMar w:top="1440" w:right="1440" w:bottom="1440" w:left="1440" w:header="720" w:footer="720" w:gutter="0"/>
          <w:cols w:space="720"/>
        </w:sectPr>
      </w:pPr>
    </w:p>
    <w:p w14:paraId="7622493C" w14:textId="271E4D22" w:rsidR="00460AA6" w:rsidRPr="00960F5F" w:rsidRDefault="001A1A6F">
      <w:pPr>
        <w:pStyle w:val="IASBSectionTitle2NonInd"/>
        <w:rPr>
          <w:lang w:val="hr-HR"/>
        </w:rPr>
      </w:pPr>
      <w:bookmarkStart w:id="19" w:name="unique_88"/>
      <w:r>
        <w:rPr>
          <w:lang w:val="hr-HR"/>
        </w:rPr>
        <w:lastRenderedPageBreak/>
        <w:t>Dodatak</w:t>
      </w:r>
      <w:r w:rsidR="00567B48" w:rsidRPr="00960F5F">
        <w:rPr>
          <w:lang w:val="hr-HR"/>
        </w:rPr>
        <w:t xml:space="preserve"> C</w:t>
      </w:r>
      <w:r w:rsidR="00567B48" w:rsidRPr="00960F5F">
        <w:rPr>
          <w:lang w:val="hr-HR"/>
        </w:rPr>
        <w:br/>
      </w:r>
      <w:r>
        <w:rPr>
          <w:lang w:val="hr-HR"/>
        </w:rPr>
        <w:t>Datum stupanja na snagu i tranzicija</w:t>
      </w:r>
      <w:bookmarkEnd w:id="19"/>
    </w:p>
    <w:p w14:paraId="1C6075F7" w14:textId="77777777" w:rsidR="00460AA6" w:rsidRPr="00960F5F" w:rsidRDefault="00460AA6">
      <w:pPr>
        <w:pStyle w:val="IASBNormalnpara"/>
        <w:rPr>
          <w:lang w:val="hr-HR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60AA6" w:rsidRPr="00960F5F" w14:paraId="27794EC5" w14:textId="77777777">
        <w:tc>
          <w:tcPr>
            <w:tcW w:w="50" w:type="pct"/>
            <w:tcBorders>
              <w:bottom w:val="single" w:sz="0" w:space="0" w:color="auto"/>
              <w:right w:val="single" w:sz="0" w:space="0" w:color="auto"/>
            </w:tcBorders>
          </w:tcPr>
          <w:p w14:paraId="3B9A3F40" w14:textId="3079CC3B" w:rsidR="00460AA6" w:rsidRPr="00960F5F" w:rsidRDefault="001A1A6F">
            <w:pPr>
              <w:pStyle w:val="IASBTableArial"/>
              <w:rPr>
                <w:lang w:val="hr-HR"/>
              </w:rPr>
            </w:pPr>
            <w:r>
              <w:rPr>
                <w:lang w:val="hr-HR"/>
              </w:rPr>
              <w:t xml:space="preserve">Uvedena je tačka </w:t>
            </w:r>
            <w:r w:rsidR="00567B48" w:rsidRPr="00960F5F">
              <w:rPr>
                <w:lang w:val="hr-HR"/>
              </w:rPr>
              <w:t>C1</w:t>
            </w:r>
            <w:r w:rsidR="00005E55">
              <w:rPr>
                <w:lang w:val="hr-HR"/>
              </w:rPr>
              <w:t>.</w:t>
            </w:r>
            <w:r w:rsidR="00567B48" w:rsidRPr="00960F5F">
              <w:rPr>
                <w:lang w:val="hr-HR"/>
              </w:rPr>
              <w:t>E</w:t>
            </w:r>
            <w:r>
              <w:rPr>
                <w:lang w:val="hr-HR"/>
              </w:rPr>
              <w:t xml:space="preserve">. U funkciji bolje preglednosti, </w:t>
            </w:r>
            <w:r w:rsidR="00005E55">
              <w:rPr>
                <w:lang w:val="hr-HR"/>
              </w:rPr>
              <w:t>ona</w:t>
            </w:r>
            <w:r>
              <w:rPr>
                <w:lang w:val="hr-HR"/>
              </w:rPr>
              <w:t xml:space="preserve"> nije podvučena</w:t>
            </w:r>
            <w:r w:rsidR="00005E55">
              <w:rPr>
                <w:lang w:val="hr-HR"/>
              </w:rPr>
              <w:t xml:space="preserve"> ovdje</w:t>
            </w:r>
            <w:r>
              <w:rPr>
                <w:lang w:val="hr-HR"/>
              </w:rPr>
              <w:t xml:space="preserve">. </w:t>
            </w:r>
          </w:p>
        </w:tc>
      </w:tr>
    </w:tbl>
    <w:p w14:paraId="73CFB135" w14:textId="77777777" w:rsidR="00460AA6" w:rsidRPr="00960F5F" w:rsidRDefault="00460AA6">
      <w:pPr>
        <w:pStyle w:val="IASBNormalnpara"/>
        <w:rPr>
          <w:lang w:val="hr-HR"/>
        </w:rPr>
      </w:pPr>
    </w:p>
    <w:p w14:paraId="01CE2FB3" w14:textId="3A046AB0" w:rsidR="00460AA6" w:rsidRPr="00960F5F" w:rsidRDefault="001A1A6F">
      <w:pPr>
        <w:pStyle w:val="IASBSectionTitle1NonInd"/>
        <w:rPr>
          <w:lang w:val="hr-HR"/>
        </w:rPr>
      </w:pPr>
      <w:r>
        <w:rPr>
          <w:lang w:val="hr-HR"/>
        </w:rPr>
        <w:t xml:space="preserve">Datum stupanja na snagu </w:t>
      </w:r>
    </w:p>
    <w:p w14:paraId="5E0899CD" w14:textId="77777777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ab/>
        <w:t>...</w:t>
      </w:r>
    </w:p>
    <w:p w14:paraId="0B013B06" w14:textId="0BAA3250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>C1</w:t>
      </w:r>
      <w:r w:rsidR="001A1A6F">
        <w:rPr>
          <w:lang w:val="hr-HR"/>
        </w:rPr>
        <w:t>.</w:t>
      </w:r>
      <w:r w:rsidRPr="00960F5F">
        <w:rPr>
          <w:lang w:val="hr-HR"/>
        </w:rPr>
        <w:t>E</w:t>
      </w:r>
      <w:r w:rsidRPr="00960F5F">
        <w:rPr>
          <w:lang w:val="hr-HR"/>
        </w:rPr>
        <w:tab/>
      </w:r>
      <w:r w:rsidR="00A83519">
        <w:rPr>
          <w:lang w:val="hr-HR"/>
        </w:rPr>
        <w:t xml:space="preserve">Dokumentom </w:t>
      </w:r>
      <w:r w:rsidR="009E56AF">
        <w:rPr>
          <w:i/>
          <w:lang w:val="hr-HR"/>
        </w:rPr>
        <w:t>G</w:t>
      </w:r>
      <w:r w:rsidR="00A83519">
        <w:rPr>
          <w:i/>
          <w:lang w:val="hr-HR"/>
        </w:rPr>
        <w:t>odišnj</w:t>
      </w:r>
      <w:r w:rsidR="009E56AF">
        <w:rPr>
          <w:i/>
          <w:lang w:val="hr-HR"/>
        </w:rPr>
        <w:t>a</w:t>
      </w:r>
      <w:r w:rsidR="00A83519">
        <w:rPr>
          <w:i/>
          <w:lang w:val="hr-HR"/>
        </w:rPr>
        <w:t xml:space="preserve"> unapređenja IFRS računovodstvenih standarda</w:t>
      </w:r>
      <w:r w:rsidR="009E56AF">
        <w:rPr>
          <w:i/>
          <w:lang w:val="hr-HR"/>
        </w:rPr>
        <w:t>, Dio 11</w:t>
      </w:r>
      <w:r w:rsidRPr="00960F5F">
        <w:rPr>
          <w:lang w:val="hr-HR"/>
        </w:rPr>
        <w:t>, i</w:t>
      </w:r>
      <w:r w:rsidR="00A83519">
        <w:rPr>
          <w:lang w:val="hr-HR"/>
        </w:rPr>
        <w:t>zda</w:t>
      </w:r>
      <w:r w:rsidR="00005E55">
        <w:rPr>
          <w:lang w:val="hr-HR"/>
        </w:rPr>
        <w:t>n</w:t>
      </w:r>
      <w:r w:rsidR="00A83519">
        <w:rPr>
          <w:lang w:val="hr-HR"/>
        </w:rPr>
        <w:t xml:space="preserve">im u </w:t>
      </w:r>
      <w:r w:rsidR="00005E55">
        <w:rPr>
          <w:lang w:val="hr-HR"/>
        </w:rPr>
        <w:t>srpnju</w:t>
      </w:r>
      <w:r w:rsidR="00A83519">
        <w:rPr>
          <w:lang w:val="hr-HR"/>
        </w:rPr>
        <w:t xml:space="preserve"> </w:t>
      </w:r>
      <w:r w:rsidRPr="00960F5F">
        <w:rPr>
          <w:lang w:val="hr-HR"/>
        </w:rPr>
        <w:t>2024</w:t>
      </w:r>
      <w:r w:rsidR="00A83519">
        <w:rPr>
          <w:lang w:val="hr-HR"/>
        </w:rPr>
        <w:t>. godine</w:t>
      </w:r>
      <w:r w:rsidRPr="00960F5F">
        <w:rPr>
          <w:lang w:val="hr-HR"/>
        </w:rPr>
        <w:t xml:space="preserve">, </w:t>
      </w:r>
      <w:r w:rsidR="00005E55">
        <w:rPr>
          <w:lang w:val="hr-HR"/>
        </w:rPr>
        <w:t>izmijenjena je tačka</w:t>
      </w:r>
      <w:r w:rsidR="00A83519">
        <w:rPr>
          <w:lang w:val="hr-HR"/>
        </w:rPr>
        <w:t xml:space="preserve"> </w:t>
      </w:r>
      <w:r w:rsidRPr="00960F5F">
        <w:rPr>
          <w:lang w:val="hr-HR"/>
        </w:rPr>
        <w:t>B</w:t>
      </w:r>
      <w:r w:rsidR="00005E55">
        <w:rPr>
          <w:lang w:val="hr-HR"/>
        </w:rPr>
        <w:t>.</w:t>
      </w:r>
      <w:r w:rsidRPr="00960F5F">
        <w:rPr>
          <w:lang w:val="hr-HR"/>
        </w:rPr>
        <w:t xml:space="preserve">74. </w:t>
      </w:r>
      <w:r w:rsidR="00A83519">
        <w:rPr>
          <w:lang w:val="hr-HR"/>
        </w:rPr>
        <w:t xml:space="preserve">Subjekt će primijeniti te izmjene i dopune za godišnja razdoblja koja počinju na dan ili nakon 1. </w:t>
      </w:r>
      <w:r w:rsidR="00005E55">
        <w:rPr>
          <w:lang w:val="hr-HR"/>
        </w:rPr>
        <w:t>siječnja</w:t>
      </w:r>
      <w:r w:rsidRPr="00960F5F">
        <w:rPr>
          <w:lang w:val="hr-HR"/>
        </w:rPr>
        <w:t xml:space="preserve"> 2026. </w:t>
      </w:r>
      <w:r w:rsidR="00A83519">
        <w:rPr>
          <w:lang w:val="hr-HR"/>
        </w:rPr>
        <w:t xml:space="preserve">godine. Ranija primjena je dopuštena. Ako subjekt primijeni te izmjene i dopune </w:t>
      </w:r>
      <w:r w:rsidR="00005E55">
        <w:rPr>
          <w:lang w:val="hr-HR"/>
        </w:rPr>
        <w:t>ranije</w:t>
      </w:r>
      <w:r w:rsidR="00A83519">
        <w:rPr>
          <w:lang w:val="hr-HR"/>
        </w:rPr>
        <w:t xml:space="preserve">, objavit će tu činjenicu. </w:t>
      </w:r>
    </w:p>
    <w:p w14:paraId="49420EB9" w14:textId="77777777" w:rsidR="00460AA6" w:rsidRPr="00960F5F" w:rsidRDefault="00460AA6">
      <w:pPr>
        <w:pStyle w:val="SectionEnd"/>
        <w:rPr>
          <w:lang w:val="hr-HR"/>
        </w:rPr>
        <w:sectPr w:rsidR="00460AA6" w:rsidRPr="00960F5F">
          <w:headerReference w:type="even" r:id="rId47"/>
          <w:headerReference w:type="default" r:id="rId48"/>
          <w:footerReference w:type="even" r:id="rId49"/>
          <w:footerReference w:type="default" r:id="rId50"/>
          <w:pgSz w:w="11895" w:h="16834"/>
          <w:pgMar w:top="1440" w:right="1440" w:bottom="1440" w:left="1440" w:header="720" w:footer="720" w:gutter="0"/>
          <w:cols w:space="720"/>
        </w:sectPr>
      </w:pPr>
    </w:p>
    <w:p w14:paraId="06B06B84" w14:textId="3BB3C7F4" w:rsidR="00460AA6" w:rsidRPr="00960F5F" w:rsidRDefault="00A83519">
      <w:pPr>
        <w:pStyle w:val="IASBSectionTitle2NonInd"/>
        <w:rPr>
          <w:lang w:val="hr-HR"/>
        </w:rPr>
      </w:pPr>
      <w:bookmarkStart w:id="20" w:name="unique_11"/>
      <w:r>
        <w:rPr>
          <w:lang w:val="hr-HR"/>
        </w:rPr>
        <w:lastRenderedPageBreak/>
        <w:t>Izmjene i dopune</w:t>
      </w:r>
      <w:r w:rsidR="00567B48" w:rsidRPr="00960F5F">
        <w:rPr>
          <w:lang w:val="hr-HR"/>
        </w:rPr>
        <w:br/>
      </w:r>
      <w:r>
        <w:rPr>
          <w:lang w:val="hr-HR"/>
        </w:rPr>
        <w:t>MRS-a</w:t>
      </w:r>
      <w:r w:rsidR="00567B48" w:rsidRPr="00960F5F">
        <w:rPr>
          <w:lang w:val="hr-HR"/>
        </w:rPr>
        <w:t xml:space="preserve"> 7 </w:t>
      </w:r>
      <w:r>
        <w:rPr>
          <w:i/>
          <w:lang w:val="hr-HR"/>
        </w:rPr>
        <w:t>Izvještaj o novč</w:t>
      </w:r>
      <w:r w:rsidR="00005E55">
        <w:rPr>
          <w:i/>
          <w:lang w:val="hr-HR"/>
        </w:rPr>
        <w:t>a</w:t>
      </w:r>
      <w:r>
        <w:rPr>
          <w:i/>
          <w:lang w:val="hr-HR"/>
        </w:rPr>
        <w:t xml:space="preserve">nim tokovima </w:t>
      </w:r>
      <w:bookmarkEnd w:id="20"/>
    </w:p>
    <w:p w14:paraId="39196CA3" w14:textId="77777777" w:rsidR="00460AA6" w:rsidRPr="00960F5F" w:rsidRDefault="00460AA6">
      <w:pPr>
        <w:pStyle w:val="IASBNormalnpara"/>
        <w:rPr>
          <w:lang w:val="hr-HR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60AA6" w:rsidRPr="00A83519" w14:paraId="2D6846AC" w14:textId="77777777">
        <w:tc>
          <w:tcPr>
            <w:tcW w:w="50" w:type="pct"/>
            <w:tcBorders>
              <w:bottom w:val="single" w:sz="0" w:space="0" w:color="auto"/>
              <w:right w:val="single" w:sz="0" w:space="0" w:color="auto"/>
            </w:tcBorders>
          </w:tcPr>
          <w:p w14:paraId="1F698035" w14:textId="1D6DBFBA" w:rsidR="00460AA6" w:rsidRPr="00960F5F" w:rsidRDefault="00A83519">
            <w:pPr>
              <w:pStyle w:val="IASBTableArial"/>
              <w:rPr>
                <w:lang w:val="hr-HR"/>
              </w:rPr>
            </w:pPr>
            <w:r>
              <w:rPr>
                <w:lang w:val="hr-HR"/>
              </w:rPr>
              <w:t xml:space="preserve">Izvršene su izmjene i dopune tačke </w:t>
            </w:r>
            <w:r w:rsidR="00567B48" w:rsidRPr="00960F5F">
              <w:rPr>
                <w:lang w:val="hr-HR"/>
              </w:rPr>
              <w:t>37</w:t>
            </w:r>
            <w:r>
              <w:rPr>
                <w:lang w:val="hr-HR"/>
              </w:rPr>
              <w:t xml:space="preserve">. Novi tekst je podvučen a brisani precrtan. </w:t>
            </w:r>
          </w:p>
        </w:tc>
      </w:tr>
    </w:tbl>
    <w:p w14:paraId="146C1106" w14:textId="77777777" w:rsidR="00460AA6" w:rsidRPr="00960F5F" w:rsidRDefault="00460AA6">
      <w:pPr>
        <w:pStyle w:val="IASBNormalnpara"/>
        <w:rPr>
          <w:lang w:val="hr-HR"/>
        </w:rPr>
      </w:pPr>
    </w:p>
    <w:p w14:paraId="10D5D32C" w14:textId="6C097F11" w:rsidR="00460AA6" w:rsidRPr="00960F5F" w:rsidRDefault="00A83519">
      <w:pPr>
        <w:pStyle w:val="IASBSectionTitle1NonInd"/>
        <w:rPr>
          <w:lang w:val="hr-HR"/>
        </w:rPr>
      </w:pPr>
      <w:bookmarkStart w:id="21" w:name="unique_99"/>
      <w:r>
        <w:rPr>
          <w:lang w:val="hr-HR"/>
        </w:rPr>
        <w:t xml:space="preserve">Ulaganja u ovisne subjekte, pridružene subjekte i zajedničke poduhvate </w:t>
      </w:r>
      <w:bookmarkEnd w:id="21"/>
    </w:p>
    <w:p w14:paraId="7612F71A" w14:textId="768980FC" w:rsidR="00460AA6" w:rsidRPr="009E56AF" w:rsidRDefault="00567B48">
      <w:pPr>
        <w:pStyle w:val="IASBNormalnpara"/>
        <w:rPr>
          <w:color w:val="FF0000"/>
          <w:lang w:val="hr-HR"/>
        </w:rPr>
      </w:pPr>
      <w:r w:rsidRPr="00960F5F">
        <w:rPr>
          <w:lang w:val="hr-HR"/>
        </w:rPr>
        <w:t>37</w:t>
      </w:r>
      <w:r w:rsidR="00A83519">
        <w:rPr>
          <w:lang w:val="hr-HR"/>
        </w:rPr>
        <w:t>.</w:t>
      </w:r>
      <w:r w:rsidRPr="00960F5F">
        <w:rPr>
          <w:lang w:val="hr-HR"/>
        </w:rPr>
        <w:tab/>
      </w:r>
      <w:r w:rsidR="00A83519" w:rsidRPr="00A95CC3">
        <w:rPr>
          <w:lang w:val="hr-HR"/>
        </w:rPr>
        <w:t>Kada računovodstvo ulaganja u pridružene subjekte</w:t>
      </w:r>
      <w:r w:rsidR="009E56AF" w:rsidRPr="00A95CC3">
        <w:rPr>
          <w:lang w:val="hr-HR"/>
        </w:rPr>
        <w:t>, zajedničke poduhvate</w:t>
      </w:r>
      <w:r w:rsidR="00A83519" w:rsidRPr="00A95CC3">
        <w:rPr>
          <w:lang w:val="hr-HR"/>
        </w:rPr>
        <w:t xml:space="preserve"> ili ovisne subjekte </w:t>
      </w:r>
      <w:r w:rsidR="00005E55" w:rsidRPr="00A95CC3">
        <w:rPr>
          <w:lang w:val="hr-HR"/>
        </w:rPr>
        <w:t>u</w:t>
      </w:r>
      <w:r w:rsidR="00A83519" w:rsidRPr="00A95CC3">
        <w:rPr>
          <w:lang w:val="hr-HR"/>
        </w:rPr>
        <w:t xml:space="preserve"> obračunu koristi metodu udjela ili </w:t>
      </w:r>
      <w:r w:rsidR="009E56AF" w:rsidRPr="00A95CC3">
        <w:rPr>
          <w:u w:val="single"/>
          <w:lang w:val="hr-HR"/>
        </w:rPr>
        <w:t>trošak</w:t>
      </w:r>
      <w:r w:rsidR="00A83519" w:rsidRPr="00A95CC3">
        <w:rPr>
          <w:strike/>
          <w:lang w:val="hr-HR"/>
        </w:rPr>
        <w:t>metodu troška</w:t>
      </w:r>
      <w:r w:rsidR="00A83519" w:rsidRPr="00A95CC3">
        <w:rPr>
          <w:lang w:val="hr-HR"/>
        </w:rPr>
        <w:t xml:space="preserve">, ulagač </w:t>
      </w:r>
      <w:r w:rsidR="00005E55" w:rsidRPr="00A95CC3">
        <w:rPr>
          <w:lang w:val="hr-HR"/>
        </w:rPr>
        <w:t xml:space="preserve">ograničava </w:t>
      </w:r>
      <w:r w:rsidR="00A83519" w:rsidRPr="00A95CC3">
        <w:rPr>
          <w:lang w:val="hr-HR"/>
        </w:rPr>
        <w:t>svoje izvještavanje u izvještaju o novčanim tokovima na novčane tokove između njega samog</w:t>
      </w:r>
      <w:r w:rsidR="00005E55" w:rsidRPr="00A95CC3">
        <w:rPr>
          <w:lang w:val="hr-HR"/>
        </w:rPr>
        <w:t>a</w:t>
      </w:r>
      <w:r w:rsidR="00A83519" w:rsidRPr="00A95CC3">
        <w:rPr>
          <w:lang w:val="hr-HR"/>
        </w:rPr>
        <w:t xml:space="preserve"> i primatelja ulaganja, </w:t>
      </w:r>
      <w:r w:rsidR="00005E55" w:rsidRPr="00A95CC3">
        <w:rPr>
          <w:lang w:val="hr-HR"/>
        </w:rPr>
        <w:t>primjerice</w:t>
      </w:r>
      <w:r w:rsidR="00A83519" w:rsidRPr="00A95CC3">
        <w:rPr>
          <w:lang w:val="hr-HR"/>
        </w:rPr>
        <w:t>, na dividende i predujmove.</w:t>
      </w:r>
    </w:p>
    <w:p w14:paraId="509EA285" w14:textId="77777777" w:rsidR="00460AA6" w:rsidRPr="00960F5F" w:rsidRDefault="00460AA6">
      <w:pPr>
        <w:pStyle w:val="IASBNormalnpara"/>
        <w:rPr>
          <w:lang w:val="hr-HR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60AA6" w:rsidRPr="00A83519" w14:paraId="1DB5947B" w14:textId="77777777">
        <w:tc>
          <w:tcPr>
            <w:tcW w:w="50" w:type="pct"/>
            <w:tcBorders>
              <w:bottom w:val="single" w:sz="0" w:space="0" w:color="auto"/>
              <w:right w:val="single" w:sz="0" w:space="0" w:color="auto"/>
            </w:tcBorders>
          </w:tcPr>
          <w:p w14:paraId="70CDAEBE" w14:textId="0979D433" w:rsidR="00460AA6" w:rsidRPr="00960F5F" w:rsidRDefault="00A83519">
            <w:pPr>
              <w:pStyle w:val="IASBTableArial"/>
              <w:rPr>
                <w:lang w:val="hr-HR"/>
              </w:rPr>
            </w:pPr>
            <w:r>
              <w:rPr>
                <w:lang w:val="hr-HR"/>
              </w:rPr>
              <w:t xml:space="preserve">Uvedena je tačka </w:t>
            </w:r>
            <w:r w:rsidR="00567B48" w:rsidRPr="00960F5F">
              <w:rPr>
                <w:lang w:val="hr-HR"/>
              </w:rPr>
              <w:t>65</w:t>
            </w:r>
            <w:r>
              <w:rPr>
                <w:lang w:val="hr-HR"/>
              </w:rPr>
              <w:t xml:space="preserve">. Zbog </w:t>
            </w:r>
            <w:r w:rsidR="00005E55">
              <w:rPr>
                <w:lang w:val="hr-HR"/>
              </w:rPr>
              <w:t>bolje</w:t>
            </w:r>
            <w:r>
              <w:rPr>
                <w:lang w:val="hr-HR"/>
              </w:rPr>
              <w:t xml:space="preserve"> preglednosti, ta tačka nije podvučena</w:t>
            </w:r>
            <w:r w:rsidR="00005E55">
              <w:rPr>
                <w:lang w:val="hr-HR"/>
              </w:rPr>
              <w:t xml:space="preserve"> ovdje</w:t>
            </w:r>
            <w:r>
              <w:rPr>
                <w:lang w:val="hr-HR"/>
              </w:rPr>
              <w:t xml:space="preserve">. </w:t>
            </w:r>
          </w:p>
        </w:tc>
      </w:tr>
    </w:tbl>
    <w:p w14:paraId="5A0DE40F" w14:textId="77777777" w:rsidR="00460AA6" w:rsidRPr="00960F5F" w:rsidRDefault="00460AA6">
      <w:pPr>
        <w:pStyle w:val="IASBNormalnpara"/>
        <w:rPr>
          <w:lang w:val="hr-HR"/>
        </w:rPr>
      </w:pPr>
    </w:p>
    <w:p w14:paraId="61F30830" w14:textId="510E47F1" w:rsidR="00460AA6" w:rsidRPr="00960F5F" w:rsidRDefault="00A83519">
      <w:pPr>
        <w:pStyle w:val="IASBSectionTitle1NonInd"/>
        <w:rPr>
          <w:lang w:val="hr-HR"/>
        </w:rPr>
      </w:pPr>
      <w:bookmarkStart w:id="22" w:name="unique_46"/>
      <w:r>
        <w:rPr>
          <w:lang w:val="hr-HR"/>
        </w:rPr>
        <w:t>Datum stupanja na snagu i prijelazne odredbe</w:t>
      </w:r>
      <w:bookmarkEnd w:id="22"/>
    </w:p>
    <w:p w14:paraId="438DF320" w14:textId="77777777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ab/>
        <w:t>...</w:t>
      </w:r>
    </w:p>
    <w:p w14:paraId="37B4FCB9" w14:textId="32B75410" w:rsidR="00460AA6" w:rsidRPr="00960F5F" w:rsidRDefault="00567B48">
      <w:pPr>
        <w:pStyle w:val="IASBNormalnpara"/>
        <w:rPr>
          <w:lang w:val="hr-HR"/>
        </w:rPr>
      </w:pPr>
      <w:r w:rsidRPr="00960F5F">
        <w:rPr>
          <w:lang w:val="hr-HR"/>
        </w:rPr>
        <w:t>65</w:t>
      </w:r>
      <w:r w:rsidR="00A83519">
        <w:rPr>
          <w:lang w:val="hr-HR"/>
        </w:rPr>
        <w:t>.</w:t>
      </w:r>
      <w:r w:rsidRPr="00960F5F">
        <w:rPr>
          <w:lang w:val="hr-HR"/>
        </w:rPr>
        <w:tab/>
      </w:r>
      <w:r w:rsidR="00A83519">
        <w:rPr>
          <w:lang w:val="hr-HR"/>
        </w:rPr>
        <w:t xml:space="preserve">Tačka 37. je izmijenjena u okviru </w:t>
      </w:r>
      <w:r w:rsidR="009E56AF">
        <w:rPr>
          <w:i/>
          <w:lang w:val="hr-HR"/>
        </w:rPr>
        <w:t>G</w:t>
      </w:r>
      <w:r w:rsidR="00A83519">
        <w:rPr>
          <w:i/>
          <w:lang w:val="hr-HR"/>
        </w:rPr>
        <w:t>odišnjih unapređenja IFRS računovodstvenih standarda</w:t>
      </w:r>
      <w:r w:rsidR="009E56AF">
        <w:rPr>
          <w:i/>
          <w:lang w:val="hr-HR"/>
        </w:rPr>
        <w:t>, Dio 11</w:t>
      </w:r>
      <w:r w:rsidR="009E56AF" w:rsidRPr="009E56AF">
        <w:rPr>
          <w:iCs/>
          <w:lang w:val="hr-HR"/>
        </w:rPr>
        <w:t>,</w:t>
      </w:r>
      <w:r w:rsidR="00A83519">
        <w:rPr>
          <w:lang w:val="hr-HR"/>
        </w:rPr>
        <w:t xml:space="preserve"> objavljenih u srpnju </w:t>
      </w:r>
      <w:r w:rsidRPr="00960F5F">
        <w:rPr>
          <w:lang w:val="hr-HR"/>
        </w:rPr>
        <w:t>2024</w:t>
      </w:r>
      <w:r w:rsidR="00A83519">
        <w:rPr>
          <w:lang w:val="hr-HR"/>
        </w:rPr>
        <w:t xml:space="preserve">. godine. Subjekt je dužan </w:t>
      </w:r>
      <w:r w:rsidR="00005E55">
        <w:rPr>
          <w:lang w:val="hr-HR"/>
        </w:rPr>
        <w:t xml:space="preserve">izmjenu </w:t>
      </w:r>
      <w:r w:rsidR="00A83519">
        <w:rPr>
          <w:lang w:val="hr-HR"/>
        </w:rPr>
        <w:t xml:space="preserve">primijeniti na godišnja razdoblja koja </w:t>
      </w:r>
      <w:r w:rsidR="00005E55">
        <w:rPr>
          <w:lang w:val="hr-HR"/>
        </w:rPr>
        <w:t>za</w:t>
      </w:r>
      <w:r w:rsidR="00A83519">
        <w:rPr>
          <w:lang w:val="hr-HR"/>
        </w:rPr>
        <w:t>počinju na dan ili nakon 1. siječnja 2026. godine. Dopuštena je n</w:t>
      </w:r>
      <w:r w:rsidR="00005E55">
        <w:rPr>
          <w:lang w:val="hr-HR"/>
        </w:rPr>
        <w:t>jezina</w:t>
      </w:r>
      <w:r w:rsidR="00A83519">
        <w:rPr>
          <w:lang w:val="hr-HR"/>
        </w:rPr>
        <w:t xml:space="preserve"> ranija primjena. Ako subjekt izmjen</w:t>
      </w:r>
      <w:r w:rsidR="009E56AF">
        <w:rPr>
          <w:lang w:val="hr-HR"/>
        </w:rPr>
        <w:t>u</w:t>
      </w:r>
      <w:r w:rsidR="00A83519">
        <w:rPr>
          <w:lang w:val="hr-HR"/>
        </w:rPr>
        <w:t xml:space="preserve"> primijeni na neko ranije razdoblje, </w:t>
      </w:r>
      <w:r w:rsidR="00005E55">
        <w:rPr>
          <w:lang w:val="hr-HR"/>
        </w:rPr>
        <w:t>dužan je tu</w:t>
      </w:r>
      <w:r w:rsidR="00A83519">
        <w:rPr>
          <w:lang w:val="hr-HR"/>
        </w:rPr>
        <w:t xml:space="preserve"> činjenicu i objaviti. </w:t>
      </w:r>
    </w:p>
    <w:p w14:paraId="2B1C8659" w14:textId="77777777" w:rsidR="008A3157" w:rsidRPr="00960F5F" w:rsidRDefault="008A3157">
      <w:pPr>
        <w:rPr>
          <w:lang w:val="hr-HR"/>
        </w:rPr>
      </w:pPr>
    </w:p>
    <w:sectPr w:rsidR="008A3157" w:rsidRPr="00960F5F">
      <w:headerReference w:type="even" r:id="rId51"/>
      <w:headerReference w:type="default" r:id="rId52"/>
      <w:footerReference w:type="even" r:id="rId53"/>
      <w:footerReference w:type="default" r:id="rId54"/>
      <w:pgSz w:w="11895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A5F7C" w14:textId="77777777" w:rsidR="00CF45F6" w:rsidRDefault="00CF45F6">
      <w:r>
        <w:separator/>
      </w:r>
    </w:p>
  </w:endnote>
  <w:endnote w:type="continuationSeparator" w:id="0">
    <w:p w14:paraId="5B0670C6" w14:textId="77777777" w:rsidR="00CF45F6" w:rsidRDefault="00CF45F6">
      <w:r>
        <w:continuationSeparator/>
      </w:r>
    </w:p>
  </w:endnote>
  <w:endnote w:type="continuationNotice" w:id="1">
    <w:p w14:paraId="13ADE602" w14:textId="77777777" w:rsidR="00CF45F6" w:rsidRDefault="00CF45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5B516" w14:textId="77F07D6E" w:rsidR="00460AA6" w:rsidRDefault="00567B48">
    <w:pPr>
      <w:pStyle w:val="Podnoje"/>
    </w:pPr>
    <w:r>
      <w:fldChar w:fldCharType="begin"/>
    </w:r>
    <w:r>
      <w:instrText>PAGE</w:instrText>
    </w:r>
    <w:r>
      <w:fldChar w:fldCharType="separate"/>
    </w:r>
    <w:r w:rsidR="00666B43">
      <w:rPr>
        <w:noProof/>
      </w:rPr>
      <w:t>6</w:t>
    </w:r>
    <w:r>
      <w:fldChar w:fldCharType="end"/>
    </w:r>
    <w:r>
      <w:tab/>
      <w:t>© IFRS Foundation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91525" w14:textId="13A8A983" w:rsidR="00460AA6" w:rsidRDefault="00567B48">
    <w:pPr>
      <w:pStyle w:val="Podnoje"/>
    </w:pPr>
    <w:r>
      <w:tab/>
      <w:t>© IFRS Foundation</w:t>
    </w:r>
    <w:r>
      <w:tab/>
    </w:r>
    <w:r>
      <w:fldChar w:fldCharType="begin"/>
    </w:r>
    <w:r>
      <w:instrText>PAGE</w:instrText>
    </w:r>
    <w:r>
      <w:fldChar w:fldCharType="separate"/>
    </w:r>
    <w:r w:rsidR="00AC3206">
      <w:rPr>
        <w:noProof/>
      </w:rPr>
      <w:t>5</w:t>
    </w:r>
    <w: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FB713" w14:textId="487BD38A" w:rsidR="00460AA6" w:rsidRDefault="00567B48">
    <w:pPr>
      <w:pStyle w:val="Podnoje"/>
    </w:pPr>
    <w:r>
      <w:fldChar w:fldCharType="begin"/>
    </w:r>
    <w:r>
      <w:instrText>PAGE</w:instrText>
    </w:r>
    <w:r>
      <w:fldChar w:fldCharType="separate"/>
    </w:r>
    <w:r w:rsidR="00AC3206">
      <w:rPr>
        <w:noProof/>
      </w:rPr>
      <w:t>6</w:t>
    </w:r>
    <w:r>
      <w:fldChar w:fldCharType="end"/>
    </w:r>
    <w:r>
      <w:tab/>
      <w:t>© IFRS Foundation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B456F" w14:textId="44526E5F" w:rsidR="00460AA6" w:rsidRDefault="00567B48">
    <w:pPr>
      <w:pStyle w:val="Podnoje"/>
    </w:pPr>
    <w:r>
      <w:tab/>
      <w:t>© IFRS Foundation</w:t>
    </w:r>
    <w:r>
      <w:tab/>
    </w:r>
    <w:r>
      <w:fldChar w:fldCharType="begin"/>
    </w:r>
    <w:r>
      <w:instrText>PAGE</w:instrText>
    </w:r>
    <w:r>
      <w:fldChar w:fldCharType="separate"/>
    </w:r>
    <w:r w:rsidR="00DF75C6">
      <w:rPr>
        <w:noProof/>
      </w:rPr>
      <w:t>11</w:t>
    </w:r>
    <w: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09FFF" w14:textId="2960F98C" w:rsidR="00460AA6" w:rsidRDefault="00567B48">
    <w:pPr>
      <w:pStyle w:val="Podnoje"/>
    </w:pPr>
    <w:r>
      <w:fldChar w:fldCharType="begin"/>
    </w:r>
    <w:r>
      <w:instrText>PAGE</w:instrText>
    </w:r>
    <w:r>
      <w:fldChar w:fldCharType="separate"/>
    </w:r>
    <w:r w:rsidR="00DF75C6">
      <w:rPr>
        <w:noProof/>
      </w:rPr>
      <w:t>12</w:t>
    </w:r>
    <w:r>
      <w:fldChar w:fldCharType="end"/>
    </w:r>
    <w:r>
      <w:tab/>
      <w:t>© IFRS Foundation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361C5" w14:textId="516F43E0" w:rsidR="00460AA6" w:rsidRDefault="00567B48">
    <w:pPr>
      <w:pStyle w:val="Podnoje"/>
    </w:pPr>
    <w:r>
      <w:tab/>
      <w:t>© IFRS Foundation</w:t>
    </w:r>
    <w:r>
      <w:tab/>
    </w:r>
    <w:r>
      <w:fldChar w:fldCharType="begin"/>
    </w:r>
    <w:r>
      <w:instrText>PAGE</w:instrText>
    </w:r>
    <w:r>
      <w:fldChar w:fldCharType="separate"/>
    </w:r>
    <w:r w:rsidR="00AC3206">
      <w:rPr>
        <w:noProof/>
      </w:rPr>
      <w:t>7</w:t>
    </w:r>
    <w:r>
      <w:fldChar w:fldCharType="end"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9EACF" w14:textId="348BD40C" w:rsidR="00460AA6" w:rsidRDefault="00567B48">
    <w:pPr>
      <w:pStyle w:val="Podnoje"/>
    </w:pPr>
    <w:r>
      <w:fldChar w:fldCharType="begin"/>
    </w:r>
    <w:r>
      <w:instrText>PAGE</w:instrText>
    </w:r>
    <w:r>
      <w:fldChar w:fldCharType="separate"/>
    </w:r>
    <w:r w:rsidR="00AC3206">
      <w:rPr>
        <w:noProof/>
      </w:rPr>
      <w:t>8</w:t>
    </w:r>
    <w:r>
      <w:fldChar w:fldCharType="end"/>
    </w:r>
    <w:r>
      <w:tab/>
      <w:t>© IFRS Foundation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59E" w14:textId="08522AD5" w:rsidR="00460AA6" w:rsidRDefault="00567B48">
    <w:pPr>
      <w:pStyle w:val="Podnoje"/>
    </w:pPr>
    <w:r>
      <w:tab/>
      <w:t>© IFRS Foundation</w:t>
    </w:r>
    <w:r>
      <w:tab/>
    </w:r>
    <w:r>
      <w:fldChar w:fldCharType="begin"/>
    </w:r>
    <w:r>
      <w:instrText>PAGE</w:instrText>
    </w:r>
    <w:r>
      <w:fldChar w:fldCharType="separate"/>
    </w:r>
    <w:r w:rsidR="00DF75C6">
      <w:rPr>
        <w:noProof/>
      </w:rPr>
      <w:t>13</w:t>
    </w:r>
    <w:r>
      <w:fldChar w:fldCharType="end"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34193" w14:textId="1D14708F" w:rsidR="00460AA6" w:rsidRDefault="00567B48">
    <w:pPr>
      <w:pStyle w:val="Podnoje"/>
    </w:pPr>
    <w:r>
      <w:fldChar w:fldCharType="begin"/>
    </w:r>
    <w:r>
      <w:instrText>PAGE</w:instrText>
    </w:r>
    <w:r>
      <w:fldChar w:fldCharType="separate"/>
    </w:r>
    <w:r w:rsidR="00DF75C6">
      <w:rPr>
        <w:noProof/>
      </w:rPr>
      <w:t>16</w:t>
    </w:r>
    <w:r>
      <w:fldChar w:fldCharType="end"/>
    </w:r>
    <w:r>
      <w:tab/>
      <w:t>© IFRS Foundation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AB2CF" w14:textId="44EA8F02" w:rsidR="00460AA6" w:rsidRDefault="00567B48">
    <w:pPr>
      <w:pStyle w:val="Podnoje"/>
    </w:pPr>
    <w:r>
      <w:tab/>
      <w:t>© IFRS Foundation</w:t>
    </w:r>
    <w:r>
      <w:tab/>
    </w:r>
    <w:r>
      <w:fldChar w:fldCharType="begin"/>
    </w:r>
    <w:r>
      <w:instrText>PAGE</w:instrText>
    </w:r>
    <w:r>
      <w:fldChar w:fldCharType="separate"/>
    </w:r>
    <w:r w:rsidR="00AC3206">
      <w:rPr>
        <w:noProof/>
      </w:rPr>
      <w:t>9</w:t>
    </w:r>
    <w:r>
      <w:fldChar w:fldCharType="end"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0E6B6" w14:textId="757D184A" w:rsidR="00460AA6" w:rsidRDefault="00567B48">
    <w:pPr>
      <w:pStyle w:val="Podnoje"/>
    </w:pPr>
    <w:r>
      <w:fldChar w:fldCharType="begin"/>
    </w:r>
    <w:r>
      <w:instrText>PAGE</w:instrText>
    </w:r>
    <w:r>
      <w:fldChar w:fldCharType="separate"/>
    </w:r>
    <w:r w:rsidR="00AC3206">
      <w:rPr>
        <w:noProof/>
      </w:rPr>
      <w:t>10</w:t>
    </w:r>
    <w:r>
      <w:fldChar w:fldCharType="end"/>
    </w:r>
    <w:r>
      <w:tab/>
      <w:t>© IFRS Foundation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A7078" w14:textId="403781D9" w:rsidR="00460AA6" w:rsidRDefault="00567B48">
    <w:pPr>
      <w:pStyle w:val="Podnoje"/>
    </w:pPr>
    <w:r>
      <w:tab/>
      <w:t>© IFRS Foundation</w:t>
    </w:r>
    <w:r>
      <w:tab/>
    </w:r>
    <w:r>
      <w:fldChar w:fldCharType="begin"/>
    </w:r>
    <w:r>
      <w:instrText>PAGE</w:instrText>
    </w:r>
    <w:r>
      <w:fldChar w:fldCharType="separate"/>
    </w:r>
    <w:r w:rsidR="00AC3206">
      <w:rPr>
        <w:noProof/>
      </w:rPr>
      <w:t>1</w:t>
    </w:r>
    <w:r>
      <w:fldChar w:fldCharType="end"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E0FD4" w14:textId="342EE2CF" w:rsidR="00460AA6" w:rsidRDefault="00567B48">
    <w:pPr>
      <w:pStyle w:val="Podnoje"/>
    </w:pPr>
    <w:r>
      <w:tab/>
      <w:t>© IFRS Foundation</w:t>
    </w:r>
    <w:r>
      <w:tab/>
    </w:r>
    <w:r>
      <w:fldChar w:fldCharType="begin"/>
    </w:r>
    <w:r>
      <w:instrText>PAGE</w:instrText>
    </w:r>
    <w:r>
      <w:fldChar w:fldCharType="separate"/>
    </w:r>
    <w:r w:rsidR="00DF75C6">
      <w:rPr>
        <w:noProof/>
      </w:rPr>
      <w:t>17</w:t>
    </w:r>
    <w:r>
      <w:fldChar w:fldCharType="end"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F6F6B" w14:textId="70F7A1B1" w:rsidR="00460AA6" w:rsidRDefault="00567B48">
    <w:pPr>
      <w:pStyle w:val="Podnoje"/>
    </w:pPr>
    <w:r>
      <w:fldChar w:fldCharType="begin"/>
    </w:r>
    <w:r>
      <w:instrText>PAGE</w:instrText>
    </w:r>
    <w:r>
      <w:fldChar w:fldCharType="separate"/>
    </w:r>
    <w:r w:rsidR="00666B43">
      <w:rPr>
        <w:noProof/>
      </w:rPr>
      <w:t>26</w:t>
    </w:r>
    <w:r>
      <w:fldChar w:fldCharType="end"/>
    </w:r>
    <w:r>
      <w:tab/>
      <w:t>© IFRS Foundation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F7A16" w14:textId="2EB3514B" w:rsidR="00460AA6" w:rsidRDefault="00567B48">
    <w:pPr>
      <w:pStyle w:val="Podnoje"/>
    </w:pPr>
    <w:r>
      <w:tab/>
      <w:t>© IFRS Foundation</w:t>
    </w:r>
    <w:r>
      <w:tab/>
    </w:r>
    <w:r>
      <w:fldChar w:fldCharType="begin"/>
    </w:r>
    <w:r>
      <w:instrText>PAGE</w:instrText>
    </w:r>
    <w:r>
      <w:fldChar w:fldCharType="separate"/>
    </w:r>
    <w:r w:rsidR="00AC3206">
      <w:rPr>
        <w:noProof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BD60B" w14:textId="2C7D49FC" w:rsidR="00460AA6" w:rsidRDefault="00567B48">
    <w:pPr>
      <w:pStyle w:val="Podnoje"/>
    </w:pPr>
    <w:r>
      <w:fldChar w:fldCharType="begin"/>
    </w:r>
    <w:r>
      <w:instrText>PAGE</w:instrText>
    </w:r>
    <w:r>
      <w:fldChar w:fldCharType="separate"/>
    </w:r>
    <w:r w:rsidR="00AC3206">
      <w:rPr>
        <w:noProof/>
      </w:rPr>
      <w:t>2</w:t>
    </w:r>
    <w:r>
      <w:fldChar w:fldCharType="end"/>
    </w:r>
    <w:r>
      <w:tab/>
      <w:t>© IFRS Foundation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5560B" w14:textId="6008EA2F" w:rsidR="00460AA6" w:rsidRDefault="00567B48">
    <w:pPr>
      <w:pStyle w:val="Podnoje"/>
    </w:pPr>
    <w:r>
      <w:tab/>
      <w:t>© IFRS Foundation</w:t>
    </w:r>
    <w:r>
      <w:tab/>
    </w:r>
    <w:r>
      <w:fldChar w:fldCharType="begin"/>
    </w:r>
    <w:r>
      <w:instrText>PAGE</w:instrText>
    </w:r>
    <w:r>
      <w:fldChar w:fldCharType="separate"/>
    </w:r>
    <w:r w:rsidR="00666B43">
      <w:rPr>
        <w:noProof/>
      </w:rPr>
      <w:t>7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25662" w14:textId="61136409" w:rsidR="00460AA6" w:rsidRDefault="00567B48">
    <w:pPr>
      <w:pStyle w:val="Podnoje"/>
    </w:pPr>
    <w:r>
      <w:fldChar w:fldCharType="begin"/>
    </w:r>
    <w:r>
      <w:instrText>PAGE</w:instrText>
    </w:r>
    <w:r>
      <w:fldChar w:fldCharType="separate"/>
    </w:r>
    <w:r w:rsidR="00DF75C6">
      <w:rPr>
        <w:noProof/>
      </w:rPr>
      <w:t>4</w:t>
    </w:r>
    <w:r>
      <w:fldChar w:fldCharType="end"/>
    </w:r>
    <w:r>
      <w:tab/>
      <w:t>© IFRS Foundation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3A810" w14:textId="76C9F343" w:rsidR="00460AA6" w:rsidRDefault="00567B48">
    <w:pPr>
      <w:pStyle w:val="Podnoje"/>
    </w:pPr>
    <w:r>
      <w:tab/>
      <w:t>© IFRS Foundation</w:t>
    </w:r>
    <w:r>
      <w:tab/>
    </w:r>
    <w:r>
      <w:fldChar w:fldCharType="begin"/>
    </w:r>
    <w:r>
      <w:instrText>PAGE</w:instrText>
    </w:r>
    <w:r>
      <w:fldChar w:fldCharType="separate"/>
    </w:r>
    <w:r w:rsidR="00AC3206">
      <w:rPr>
        <w:noProof/>
      </w:rPr>
      <w:t>3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61CEB" w14:textId="3C8656CA" w:rsidR="00460AA6" w:rsidRDefault="00567B48">
    <w:pPr>
      <w:pStyle w:val="Podnoje"/>
    </w:pPr>
    <w:r>
      <w:fldChar w:fldCharType="begin"/>
    </w:r>
    <w:r>
      <w:instrText>PAGE</w:instrText>
    </w:r>
    <w:r>
      <w:fldChar w:fldCharType="separate"/>
    </w:r>
    <w:r w:rsidR="00AC3206">
      <w:rPr>
        <w:noProof/>
      </w:rPr>
      <w:t>4</w:t>
    </w:r>
    <w:r>
      <w:fldChar w:fldCharType="end"/>
    </w:r>
    <w:r>
      <w:tab/>
      <w:t>© IFRS Foundation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C29FA" w14:textId="3FF19CB0" w:rsidR="00460AA6" w:rsidRDefault="00567B48">
    <w:pPr>
      <w:pStyle w:val="Podnoje"/>
    </w:pPr>
    <w:r>
      <w:tab/>
      <w:t>© IFRS Foundation</w:t>
    </w:r>
    <w:r>
      <w:tab/>
    </w:r>
    <w:r>
      <w:fldChar w:fldCharType="begin"/>
    </w:r>
    <w:r>
      <w:instrText>PAGE</w:instrText>
    </w:r>
    <w:r>
      <w:fldChar w:fldCharType="separate"/>
    </w:r>
    <w:r w:rsidR="00DF75C6">
      <w:rPr>
        <w:noProof/>
      </w:rPr>
      <w:t>5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0C036" w14:textId="3314E999" w:rsidR="00460AA6" w:rsidRDefault="00567B48">
    <w:pPr>
      <w:pStyle w:val="Podnoje"/>
    </w:pPr>
    <w:r>
      <w:fldChar w:fldCharType="begin"/>
    </w:r>
    <w:r>
      <w:instrText>PAGE</w:instrText>
    </w:r>
    <w:r>
      <w:fldChar w:fldCharType="separate"/>
    </w:r>
    <w:r w:rsidR="00DF75C6">
      <w:rPr>
        <w:noProof/>
      </w:rPr>
      <w:t>10</w:t>
    </w:r>
    <w:r>
      <w:fldChar w:fldCharType="end"/>
    </w:r>
    <w:r>
      <w:tab/>
      <w:t>© IFRS Foundation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A5CF8" w14:textId="77777777" w:rsidR="00CF45F6" w:rsidRDefault="00CF45F6">
      <w:r>
        <w:separator/>
      </w:r>
    </w:p>
  </w:footnote>
  <w:footnote w:type="continuationSeparator" w:id="0">
    <w:p w14:paraId="5C170927" w14:textId="77777777" w:rsidR="00CF45F6" w:rsidRDefault="00CF45F6">
      <w:r>
        <w:continuationSeparator/>
      </w:r>
    </w:p>
  </w:footnote>
  <w:footnote w:type="continuationNotice" w:id="1">
    <w:p w14:paraId="3FD08473" w14:textId="77777777" w:rsidR="00CF45F6" w:rsidRDefault="00CF45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49E9E" w14:textId="77777777" w:rsidR="00460AA6" w:rsidRDefault="00460AA6">
    <w:pPr>
      <w:pStyle w:val="Zaglavlje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8016E" w14:textId="77777777" w:rsidR="00460AA6" w:rsidRDefault="00567B48">
    <w:pPr>
      <w:pStyle w:val="Zaglavlje"/>
    </w:pPr>
    <w:r>
      <w:tab/>
    </w:r>
    <w:r>
      <w:tab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76151" w14:textId="77777777" w:rsidR="00460AA6" w:rsidRDefault="00460AA6">
    <w:pPr>
      <w:pStyle w:val="Zaglavlje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46C5F" w14:textId="77777777" w:rsidR="00460AA6" w:rsidRDefault="00567B48">
    <w:pPr>
      <w:pStyle w:val="Zaglavlje"/>
    </w:pPr>
    <w:r>
      <w:tab/>
    </w:r>
    <w:r>
      <w:tab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0DFC3" w14:textId="77777777" w:rsidR="00460AA6" w:rsidRDefault="00460AA6">
    <w:pPr>
      <w:pStyle w:val="Zaglavlje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DFE03" w14:textId="77777777" w:rsidR="00460AA6" w:rsidRDefault="00567B48">
    <w:pPr>
      <w:pStyle w:val="Zaglavlje"/>
    </w:pPr>
    <w:r>
      <w:tab/>
    </w:r>
    <w:r>
      <w:tab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654" w14:textId="77777777" w:rsidR="00460AA6" w:rsidRDefault="00460AA6">
    <w:pPr>
      <w:pStyle w:val="Zaglavlje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2D6AF" w14:textId="77777777" w:rsidR="00460AA6" w:rsidRDefault="00567B48">
    <w:pPr>
      <w:pStyle w:val="Zaglavlje"/>
    </w:pPr>
    <w:r>
      <w:tab/>
    </w:r>
    <w:r>
      <w:tab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A8BBD" w14:textId="77777777" w:rsidR="00460AA6" w:rsidRDefault="00460AA6">
    <w:pPr>
      <w:pStyle w:val="Zaglavlje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5EA3C" w14:textId="77777777" w:rsidR="00460AA6" w:rsidRDefault="00567B48">
    <w:pPr>
      <w:pStyle w:val="Zaglavlje"/>
    </w:pPr>
    <w:r>
      <w:tab/>
    </w:r>
    <w:r>
      <w:tab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EA34B" w14:textId="77777777" w:rsidR="00460AA6" w:rsidRDefault="00460AA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DD3BF" w14:textId="77777777" w:rsidR="00460AA6" w:rsidRDefault="00567B48">
    <w:pPr>
      <w:pStyle w:val="Zaglavlje"/>
    </w:pPr>
    <w:r>
      <w:tab/>
    </w:r>
    <w:r>
      <w:tab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4A67A" w14:textId="77777777" w:rsidR="00460AA6" w:rsidRDefault="00567B48">
    <w:pPr>
      <w:pStyle w:val="Zaglavlje"/>
    </w:pPr>
    <w:r>
      <w:tab/>
    </w:r>
    <w:r>
      <w:tab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9B8CC" w14:textId="77777777" w:rsidR="00460AA6" w:rsidRDefault="00460AA6">
    <w:pPr>
      <w:pStyle w:val="Zaglavlje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F6236" w14:textId="77777777" w:rsidR="00460AA6" w:rsidRDefault="00567B48">
    <w:pPr>
      <w:pStyle w:val="Zaglavlje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1119E" w14:textId="77777777" w:rsidR="00460AA6" w:rsidRDefault="00460AA6">
    <w:pPr>
      <w:pStyle w:val="Zaglavlj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078D1" w14:textId="77777777" w:rsidR="00460AA6" w:rsidRDefault="00567B48">
    <w:pPr>
      <w:pStyle w:val="Zaglavlje"/>
    </w:pPr>
    <w:r>
      <w:tab/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B5CA5" w14:textId="77777777" w:rsidR="00460AA6" w:rsidRDefault="00460AA6">
    <w:pPr>
      <w:pStyle w:val="Zaglavlj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A3144" w14:textId="77777777" w:rsidR="00460AA6" w:rsidRDefault="00567B48">
    <w:pPr>
      <w:pStyle w:val="Zaglavlje"/>
    </w:pPr>
    <w:r>
      <w:tab/>
    </w:r>
    <w: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F641E" w14:textId="77777777" w:rsidR="00460AA6" w:rsidRDefault="00460AA6">
    <w:pPr>
      <w:pStyle w:val="Zaglavlj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338A6" w14:textId="77777777" w:rsidR="00460AA6" w:rsidRDefault="00567B48">
    <w:pPr>
      <w:pStyle w:val="Zaglavlje"/>
    </w:pPr>
    <w:r>
      <w:tab/>
    </w:r>
    <w:r>
      <w:tab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94674" w14:textId="77777777" w:rsidR="00460AA6" w:rsidRDefault="00460AA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678A3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15CA6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D736AC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D4B49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F67201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1BE73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F93ACF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89C9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76E4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3E15B2"/>
    <w:multiLevelType w:val="multilevel"/>
    <w:tmpl w:val="0204D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A6"/>
    <w:rsid w:val="00005E55"/>
    <w:rsid w:val="000416EE"/>
    <w:rsid w:val="0004423A"/>
    <w:rsid w:val="00064CDB"/>
    <w:rsid w:val="0008089D"/>
    <w:rsid w:val="00092953"/>
    <w:rsid w:val="000E56DE"/>
    <w:rsid w:val="00143342"/>
    <w:rsid w:val="0018064A"/>
    <w:rsid w:val="001A0D72"/>
    <w:rsid w:val="001A1A6F"/>
    <w:rsid w:val="001B019F"/>
    <w:rsid w:val="001F162B"/>
    <w:rsid w:val="002B2E6E"/>
    <w:rsid w:val="0033528E"/>
    <w:rsid w:val="003A2580"/>
    <w:rsid w:val="00460AA6"/>
    <w:rsid w:val="004E667D"/>
    <w:rsid w:val="00503045"/>
    <w:rsid w:val="00512E8A"/>
    <w:rsid w:val="00567B48"/>
    <w:rsid w:val="0057301C"/>
    <w:rsid w:val="005E2A6E"/>
    <w:rsid w:val="005F5FC8"/>
    <w:rsid w:val="006115EC"/>
    <w:rsid w:val="00621667"/>
    <w:rsid w:val="00666B43"/>
    <w:rsid w:val="00676AE6"/>
    <w:rsid w:val="00715707"/>
    <w:rsid w:val="00756A1E"/>
    <w:rsid w:val="007D4802"/>
    <w:rsid w:val="008021E0"/>
    <w:rsid w:val="00802A34"/>
    <w:rsid w:val="00823CC8"/>
    <w:rsid w:val="008771D0"/>
    <w:rsid w:val="008A3157"/>
    <w:rsid w:val="008E7BE9"/>
    <w:rsid w:val="009117C7"/>
    <w:rsid w:val="0092505C"/>
    <w:rsid w:val="00960F5F"/>
    <w:rsid w:val="00961931"/>
    <w:rsid w:val="0098640F"/>
    <w:rsid w:val="009B09EC"/>
    <w:rsid w:val="009E3C61"/>
    <w:rsid w:val="009E56AF"/>
    <w:rsid w:val="009E79E0"/>
    <w:rsid w:val="00A3452F"/>
    <w:rsid w:val="00A429A0"/>
    <w:rsid w:val="00A83519"/>
    <w:rsid w:val="00A8362A"/>
    <w:rsid w:val="00A95CC3"/>
    <w:rsid w:val="00AA7351"/>
    <w:rsid w:val="00AB5BDF"/>
    <w:rsid w:val="00AC3206"/>
    <w:rsid w:val="00AE1A6F"/>
    <w:rsid w:val="00AE4565"/>
    <w:rsid w:val="00B17597"/>
    <w:rsid w:val="00B57D03"/>
    <w:rsid w:val="00BF6C61"/>
    <w:rsid w:val="00C53125"/>
    <w:rsid w:val="00C63580"/>
    <w:rsid w:val="00C869E7"/>
    <w:rsid w:val="00CB1ABE"/>
    <w:rsid w:val="00CC1619"/>
    <w:rsid w:val="00CF45F6"/>
    <w:rsid w:val="00CF5D98"/>
    <w:rsid w:val="00D13221"/>
    <w:rsid w:val="00D80602"/>
    <w:rsid w:val="00D963A9"/>
    <w:rsid w:val="00DD4D50"/>
    <w:rsid w:val="00DF5E24"/>
    <w:rsid w:val="00DF75C6"/>
    <w:rsid w:val="00E27177"/>
    <w:rsid w:val="00E33A7C"/>
    <w:rsid w:val="00E86E29"/>
    <w:rsid w:val="00E9667D"/>
    <w:rsid w:val="00EA7132"/>
    <w:rsid w:val="00EE72D5"/>
    <w:rsid w:val="00F400B0"/>
    <w:rsid w:val="00F85CF0"/>
    <w:rsid w:val="00FD52D5"/>
    <w:rsid w:val="00F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619A"/>
  <w15:docId w15:val="{CE3B8E77-F0C8-4250-82BC-A5C9C768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882"/>
    <w:pPr>
      <w:spacing w:after="0" w:line="240" w:lineRule="auto"/>
    </w:pPr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IASBNormal">
    <w:name w:val="IASB Normal"/>
    <w:pPr>
      <w:tabs>
        <w:tab w:val="left" w:pos="4253"/>
      </w:tabs>
      <w:spacing w:before="100" w:after="100" w:line="240" w:lineRule="auto"/>
      <w:jc w:val="both"/>
    </w:pPr>
    <w:rPr>
      <w:sz w:val="19"/>
      <w:szCs w:val="20"/>
      <w:lang w:val="en-US" w:eastAsia="en-US"/>
    </w:rPr>
  </w:style>
  <w:style w:type="paragraph" w:customStyle="1" w:styleId="IASBNormalArial">
    <w:name w:val="IASB Normal Arial"/>
    <w:pPr>
      <w:tabs>
        <w:tab w:val="left" w:pos="4253"/>
      </w:tabs>
      <w:spacing w:before="100" w:after="100" w:line="240" w:lineRule="auto"/>
      <w:jc w:val="both"/>
    </w:pPr>
    <w:rPr>
      <w:rFonts w:ascii="Arial" w:hAnsi="Arial"/>
      <w:sz w:val="19"/>
      <w:szCs w:val="20"/>
      <w:lang w:val="en-US" w:eastAsia="en-US"/>
    </w:rPr>
  </w:style>
  <w:style w:type="paragraph" w:customStyle="1" w:styleId="IASBNormalnpara">
    <w:name w:val="IASB Normal npara"/>
    <w:basedOn w:val="IASBNormal"/>
    <w:pPr>
      <w:tabs>
        <w:tab w:val="clear" w:pos="4253"/>
      </w:tabs>
      <w:spacing w:after="0"/>
      <w:ind w:left="782" w:hanging="782"/>
    </w:pPr>
  </w:style>
  <w:style w:type="paragraph" w:customStyle="1" w:styleId="IASBSectionTitle1Ind">
    <w:name w:val="IASB Section Title 1 Ind"/>
    <w:basedOn w:val="Normal"/>
    <w:pPr>
      <w:keepNext/>
      <w:keepLines/>
      <w:pBdr>
        <w:bottom w:val="single" w:sz="4" w:space="0" w:color="auto"/>
      </w:pBdr>
      <w:spacing w:before="400" w:after="200"/>
      <w:ind w:left="782"/>
    </w:pPr>
    <w:rPr>
      <w:rFonts w:ascii="Arial" w:hAnsi="Arial" w:cs="Arial"/>
      <w:b/>
      <w:sz w:val="26"/>
      <w:szCs w:val="20"/>
      <w:lang w:val="en-US"/>
    </w:rPr>
  </w:style>
  <w:style w:type="paragraph" w:customStyle="1" w:styleId="IASBSectionTitle1NonInd">
    <w:name w:val="IASB Section Title 1 NonInd"/>
    <w:basedOn w:val="Normal"/>
    <w:pPr>
      <w:keepNext/>
      <w:keepLines/>
      <w:pBdr>
        <w:bottom w:val="single" w:sz="4" w:space="0" w:color="auto"/>
      </w:pBdr>
      <w:spacing w:before="400" w:after="200"/>
    </w:pPr>
    <w:rPr>
      <w:rFonts w:ascii="Arial" w:hAnsi="Arial" w:cs="Arial"/>
      <w:b/>
      <w:sz w:val="26"/>
      <w:szCs w:val="20"/>
      <w:lang w:val="en-US"/>
    </w:rPr>
  </w:style>
  <w:style w:type="paragraph" w:customStyle="1" w:styleId="IASBSectionTitle2NonInd">
    <w:name w:val="IASB Section Title 2 NonInd"/>
    <w:basedOn w:val="Normal"/>
    <w:pPr>
      <w:keepNext/>
      <w:keepLines/>
      <w:spacing w:before="300" w:after="200"/>
    </w:pPr>
    <w:rPr>
      <w:rFonts w:ascii="Arial" w:hAnsi="Arial" w:cs="Arial"/>
      <w:b/>
      <w:sz w:val="26"/>
      <w:szCs w:val="20"/>
      <w:lang w:val="en-US"/>
    </w:rPr>
  </w:style>
  <w:style w:type="paragraph" w:customStyle="1" w:styleId="IASBSectionTitle2Ind">
    <w:name w:val="IASB Section Title 2 Ind"/>
    <w:basedOn w:val="IASBSectionTitle2NonInd"/>
    <w:pPr>
      <w:spacing w:before="240"/>
      <w:ind w:left="782"/>
    </w:pPr>
  </w:style>
  <w:style w:type="paragraph" w:customStyle="1" w:styleId="IASBSectionTitle3NonInd">
    <w:name w:val="IASB Section Title 3 NonInd"/>
    <w:basedOn w:val="Normal"/>
    <w:pPr>
      <w:keepNext/>
      <w:keepLines/>
      <w:spacing w:before="300" w:after="200"/>
    </w:pPr>
    <w:rPr>
      <w:rFonts w:ascii="Arial" w:hAnsi="Arial" w:cs="Arial"/>
      <w:b/>
      <w:sz w:val="22"/>
      <w:szCs w:val="20"/>
      <w:lang w:val="en-US"/>
    </w:rPr>
  </w:style>
  <w:style w:type="paragraph" w:customStyle="1" w:styleId="IASBSectionTitle3Ind">
    <w:name w:val="IASB Section Title 3 Ind"/>
    <w:basedOn w:val="IASBSectionTitle3NonInd"/>
    <w:pPr>
      <w:spacing w:before="240"/>
      <w:ind w:left="782"/>
    </w:pPr>
  </w:style>
  <w:style w:type="paragraph" w:customStyle="1" w:styleId="IASBSectionTitle4NonInd">
    <w:name w:val="IASB Section Title 4 NonInd"/>
    <w:basedOn w:val="Normal"/>
    <w:pPr>
      <w:keepNext/>
      <w:keepLines/>
      <w:spacing w:before="300" w:after="200"/>
    </w:pPr>
    <w:rPr>
      <w:rFonts w:ascii="Arial" w:hAnsi="Arial" w:cs="Arial"/>
      <w:i/>
      <w:sz w:val="22"/>
      <w:szCs w:val="20"/>
      <w:lang w:val="en-US"/>
    </w:rPr>
  </w:style>
  <w:style w:type="paragraph" w:customStyle="1" w:styleId="IASBSectionTitle4Ind">
    <w:name w:val="IASB Section Title 4 Ind"/>
    <w:basedOn w:val="IASBSectionTitle4NonInd"/>
    <w:pPr>
      <w:ind w:left="782"/>
    </w:pPr>
  </w:style>
  <w:style w:type="paragraph" w:customStyle="1" w:styleId="IASBSectionTitle5NonInd">
    <w:name w:val="IASB Section Title 5 NonInd"/>
    <w:basedOn w:val="Normal"/>
    <w:rsid w:val="00E20281"/>
    <w:pPr>
      <w:keepNext/>
      <w:keepLines/>
      <w:spacing w:before="300" w:after="200"/>
    </w:pPr>
    <w:rPr>
      <w:rFonts w:ascii="Arial" w:hAnsi="Arial" w:cs="Arial"/>
      <w:b/>
      <w:sz w:val="19"/>
      <w:szCs w:val="20"/>
      <w:lang w:val="en-US"/>
    </w:rPr>
  </w:style>
  <w:style w:type="paragraph" w:customStyle="1" w:styleId="IASBSectionTitle5Ind">
    <w:name w:val="IASB Section Title 5 Ind"/>
    <w:basedOn w:val="IASBSectionTitle5NonInd"/>
    <w:rsid w:val="00E20281"/>
    <w:pPr>
      <w:ind w:left="782"/>
    </w:pPr>
  </w:style>
  <w:style w:type="paragraph" w:customStyle="1" w:styleId="IASBSectionTitle6NonInd">
    <w:name w:val="IASB Section Title 6 NonInd"/>
    <w:basedOn w:val="IASBSectionTitle5NonInd"/>
    <w:rPr>
      <w:b w:val="0"/>
      <w:i/>
    </w:rPr>
  </w:style>
  <w:style w:type="paragraph" w:customStyle="1" w:styleId="IASBSectionTitle6Ind">
    <w:name w:val="IASB Section Title 6 Ind"/>
    <w:basedOn w:val="IASBSectionTitle6NonInd"/>
    <w:pPr>
      <w:ind w:left="782"/>
    </w:pPr>
  </w:style>
  <w:style w:type="paragraph" w:customStyle="1" w:styleId="IASBTitle">
    <w:name w:val="IASB Title"/>
    <w:pPr>
      <w:keepNext/>
      <w:keepLines/>
      <w:spacing w:before="300" w:after="400" w:line="240" w:lineRule="auto"/>
    </w:pPr>
    <w:rPr>
      <w:rFonts w:cs="Arial"/>
      <w:sz w:val="36"/>
      <w:szCs w:val="20"/>
      <w:lang w:val="en-US" w:eastAsia="en-US"/>
    </w:rPr>
  </w:style>
  <w:style w:type="paragraph" w:customStyle="1" w:styleId="IASBNormalnparaL1">
    <w:name w:val="IASB Normal nparaL1"/>
    <w:basedOn w:val="IASBNormalnpara"/>
    <w:pPr>
      <w:ind w:left="1564"/>
    </w:pPr>
  </w:style>
  <w:style w:type="paragraph" w:customStyle="1" w:styleId="IASBNormalArialnparaL1">
    <w:name w:val="IASB Normal Arial nparaL1"/>
    <w:basedOn w:val="IASBNormalnpara"/>
    <w:pPr>
      <w:ind w:left="1564"/>
    </w:pPr>
    <w:rPr>
      <w:rFonts w:ascii="Arial" w:hAnsi="Arial"/>
    </w:rPr>
  </w:style>
  <w:style w:type="paragraph" w:customStyle="1" w:styleId="IASBNormalnparaP">
    <w:name w:val="IASB Normal nparaP"/>
    <w:basedOn w:val="IASBNormal"/>
    <w:pPr>
      <w:ind w:left="782"/>
    </w:pPr>
  </w:style>
  <w:style w:type="paragraph" w:customStyle="1" w:styleId="IASBIdentifier">
    <w:name w:val="IASB Identifier"/>
    <w:basedOn w:val="IASBTitle"/>
    <w:pPr>
      <w:spacing w:after="200"/>
    </w:pPr>
    <w:rPr>
      <w:rFonts w:ascii="Arial" w:hAnsi="Arial"/>
      <w:b/>
      <w:sz w:val="23"/>
    </w:rPr>
  </w:style>
  <w:style w:type="paragraph" w:customStyle="1" w:styleId="IASBTOCPrimaryPrimary">
    <w:name w:val="IASB TOC Primary Primary"/>
    <w:basedOn w:val="Normal"/>
    <w:pPr>
      <w:tabs>
        <w:tab w:val="right" w:pos="8647"/>
      </w:tabs>
      <w:spacing w:before="100" w:after="100"/>
    </w:pPr>
    <w:rPr>
      <w:rFonts w:ascii="Arial" w:hAnsi="Arial" w:cs="Arial"/>
      <w:b/>
      <w:caps/>
      <w:sz w:val="20"/>
      <w:szCs w:val="20"/>
      <w:lang w:val="en-US"/>
    </w:rPr>
  </w:style>
  <w:style w:type="paragraph" w:customStyle="1" w:styleId="IASBTOCPrimaryMixedCase">
    <w:name w:val="IASB TOC Primary Mixed Case"/>
    <w:basedOn w:val="Normal"/>
    <w:pPr>
      <w:tabs>
        <w:tab w:val="right" w:pos="8647"/>
      </w:tabs>
      <w:spacing w:before="100" w:after="100"/>
    </w:pPr>
    <w:rPr>
      <w:rFonts w:ascii="Arial" w:hAnsi="Arial" w:cs="Arial"/>
      <w:b/>
      <w:sz w:val="20"/>
      <w:szCs w:val="20"/>
      <w:lang w:val="en-US"/>
    </w:rPr>
  </w:style>
  <w:style w:type="paragraph" w:customStyle="1" w:styleId="IASBTOCPrimary">
    <w:name w:val="IASB TOC Primary"/>
    <w:basedOn w:val="Normal"/>
    <w:pPr>
      <w:tabs>
        <w:tab w:val="right" w:pos="8647"/>
      </w:tabs>
      <w:spacing w:before="100" w:after="100"/>
    </w:pPr>
    <w:rPr>
      <w:rFonts w:ascii="Arial" w:hAnsi="Arial" w:cs="Arial"/>
      <w:b/>
      <w:caps/>
      <w:sz w:val="18"/>
      <w:szCs w:val="20"/>
      <w:lang w:val="en-US"/>
    </w:rPr>
  </w:style>
  <w:style w:type="paragraph" w:customStyle="1" w:styleId="IASBTOCParagraph">
    <w:name w:val="IASB TOC Paragraph"/>
    <w:basedOn w:val="Normal"/>
    <w:pPr>
      <w:spacing w:before="30" w:after="30"/>
    </w:pPr>
    <w:rPr>
      <w:rFonts w:ascii="Arial" w:hAnsi="Arial" w:cs="Arial"/>
      <w:i/>
      <w:sz w:val="18"/>
      <w:szCs w:val="20"/>
      <w:lang w:val="en-US"/>
    </w:rPr>
  </w:style>
  <w:style w:type="paragraph" w:customStyle="1" w:styleId="IASBTOCSecondary">
    <w:name w:val="IASB TOC Secondary"/>
    <w:basedOn w:val="Normal"/>
    <w:pPr>
      <w:tabs>
        <w:tab w:val="right" w:pos="8647"/>
      </w:tabs>
      <w:spacing w:before="30" w:after="30"/>
    </w:pPr>
    <w:rPr>
      <w:rFonts w:ascii="Arial" w:hAnsi="Arial" w:cs="Arial"/>
      <w:b/>
      <w:sz w:val="18"/>
      <w:szCs w:val="20"/>
      <w:lang w:val="en-US"/>
    </w:rPr>
  </w:style>
  <w:style w:type="paragraph" w:customStyle="1" w:styleId="IASBTOCTertiary">
    <w:name w:val="IASB TOC Tertiary"/>
    <w:basedOn w:val="Normal"/>
    <w:pPr>
      <w:tabs>
        <w:tab w:val="right" w:pos="8647"/>
      </w:tabs>
      <w:spacing w:before="30" w:after="30"/>
      <w:ind w:left="390"/>
    </w:pPr>
    <w:rPr>
      <w:rFonts w:ascii="Arial" w:hAnsi="Arial" w:cs="Arial"/>
      <w:sz w:val="18"/>
      <w:szCs w:val="20"/>
      <w:lang w:val="en-US"/>
    </w:rPr>
  </w:style>
  <w:style w:type="paragraph" w:customStyle="1" w:styleId="IASBTOCExternal">
    <w:name w:val="IASB TOC External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0" w:after="30"/>
    </w:pPr>
    <w:rPr>
      <w:rFonts w:ascii="Arial" w:hAnsi="Arial" w:cs="Arial"/>
      <w:b/>
      <w:sz w:val="18"/>
      <w:szCs w:val="20"/>
      <w:lang w:val="en-US"/>
    </w:rPr>
  </w:style>
  <w:style w:type="paragraph" w:customStyle="1" w:styleId="IASBRubric">
    <w:name w:val="IASB Rubric"/>
    <w:basedOn w:val="IASBNormal"/>
    <w:pPr>
      <w:pBdr>
        <w:top w:val="single" w:sz="2" w:space="8" w:color="auto"/>
        <w:left w:val="single" w:sz="2" w:space="5" w:color="auto"/>
        <w:bottom w:val="single" w:sz="2" w:space="5" w:color="auto"/>
        <w:right w:val="single" w:sz="2" w:space="5" w:color="auto"/>
      </w:pBdr>
    </w:pPr>
  </w:style>
  <w:style w:type="paragraph" w:customStyle="1" w:styleId="IASBNote">
    <w:name w:val="IASB Note"/>
    <w:basedOn w:val="IASBNormal"/>
    <w:rsid w:val="00E9784B"/>
  </w:style>
  <w:style w:type="paragraph" w:customStyle="1" w:styleId="IASBBlockquote">
    <w:name w:val="IASB Blockquote"/>
    <w:basedOn w:val="IASBNormal"/>
    <w:pPr>
      <w:ind w:left="1565"/>
    </w:pPr>
    <w:rPr>
      <w:sz w:val="16"/>
    </w:rPr>
  </w:style>
  <w:style w:type="character" w:customStyle="1" w:styleId="IASBEduinsert">
    <w:name w:val="IASB Edu insert"/>
    <w:qFormat/>
  </w:style>
  <w:style w:type="character" w:styleId="Referencafusnote">
    <w:name w:val="footnote reference"/>
    <w:basedOn w:val="Zadanifontodlomka"/>
    <w:uiPriority w:val="99"/>
    <w:semiHidden/>
    <w:unhideWhenUsed/>
    <w:rPr>
      <w:rFonts w:cs="Times New Roman"/>
      <w:vertAlign w:val="superscript"/>
    </w:rPr>
  </w:style>
  <w:style w:type="paragraph" w:styleId="Tekstfusnote">
    <w:name w:val="footnote text"/>
    <w:basedOn w:val="IASBSectionTitle2Ind"/>
    <w:next w:val="IASBBlockquote"/>
    <w:uiPriority w:val="99"/>
    <w:semiHidden/>
    <w:rsid w:val="00B35882"/>
    <w:pPr>
      <w:keepNext w:val="0"/>
      <w:spacing w:before="0" w:after="0"/>
      <w:ind w:hanging="782"/>
    </w:pPr>
    <w:rPr>
      <w:rFonts w:ascii="Times New Roman" w:hAnsi="Times New Roman" w:cs="Times New Roman"/>
      <w:b w:val="0"/>
      <w:sz w:val="16"/>
    </w:rPr>
  </w:style>
  <w:style w:type="paragraph" w:customStyle="1" w:styleId="edufootnotetext">
    <w:name w:val="edu footnote text"/>
    <w:basedOn w:val="IASBSectionTitle2Ind"/>
    <w:next w:val="IASBBlockquote"/>
    <w:link w:val="FootnoteTextChar"/>
    <w:uiPriority w:val="99"/>
    <w:semiHidden/>
    <w:rsid w:val="00713675"/>
    <w:pPr>
      <w:keepNext w:val="0"/>
      <w:keepLines w:val="0"/>
      <w:spacing w:before="0" w:after="0"/>
      <w:ind w:hanging="782"/>
    </w:pPr>
    <w:rPr>
      <w:sz w:val="16"/>
    </w:rPr>
  </w:style>
  <w:style w:type="character" w:customStyle="1" w:styleId="FootnoteTextChar">
    <w:name w:val="Footnote Text Char"/>
    <w:basedOn w:val="Zadanifontodlomka"/>
    <w:link w:val="edufootnotetext"/>
    <w:uiPriority w:val="99"/>
    <w:semiHidden/>
    <w:rPr>
      <w:sz w:val="20"/>
      <w:szCs w:val="20"/>
      <w:lang w:eastAsia="en-US"/>
    </w:rPr>
  </w:style>
  <w:style w:type="paragraph" w:customStyle="1" w:styleId="IASBNormalL1">
    <w:name w:val="IASB Normal L1"/>
    <w:basedOn w:val="IASBNormalnpara"/>
  </w:style>
  <w:style w:type="paragraph" w:customStyle="1" w:styleId="IASBNormalArialL1">
    <w:name w:val="IASB Normal Arial L1"/>
    <w:basedOn w:val="IASBNormalnpara"/>
    <w:rPr>
      <w:rFonts w:ascii="Arial" w:hAnsi="Arial"/>
    </w:rPr>
  </w:style>
  <w:style w:type="paragraph" w:styleId="Zaglavlje">
    <w:name w:val="header"/>
    <w:basedOn w:val="Normal"/>
    <w:link w:val="ZaglavljeChar"/>
    <w:uiPriority w:val="99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Pr>
      <w:sz w:val="24"/>
      <w:szCs w:val="24"/>
      <w:lang w:eastAsia="en-US"/>
    </w:rPr>
  </w:style>
  <w:style w:type="paragraph" w:customStyle="1" w:styleId="IASBRubricL1">
    <w:name w:val="IASB RubricL1"/>
    <w:basedOn w:val="IASBRubric"/>
    <w:pPr>
      <w:ind w:left="782" w:hanging="782"/>
      <w:jc w:val="left"/>
    </w:pPr>
    <w:rPr>
      <w:lang w:eastAsia="en-GB"/>
    </w:rPr>
  </w:style>
  <w:style w:type="paragraph" w:customStyle="1" w:styleId="IASBRubricL2">
    <w:name w:val="IASB RubricL2"/>
    <w:basedOn w:val="IASBRubricL1"/>
    <w:pPr>
      <w:tabs>
        <w:tab w:val="left" w:pos="782"/>
      </w:tabs>
      <w:ind w:left="1565" w:hanging="1565"/>
    </w:pPr>
  </w:style>
  <w:style w:type="paragraph" w:customStyle="1" w:styleId="IASBRubricL3">
    <w:name w:val="IASB RubricL3"/>
    <w:basedOn w:val="IASBRubricL2"/>
    <w:pPr>
      <w:tabs>
        <w:tab w:val="clear" w:pos="782"/>
        <w:tab w:val="left" w:pos="1565"/>
      </w:tabs>
      <w:ind w:left="2347" w:hanging="2347"/>
    </w:pPr>
  </w:style>
  <w:style w:type="paragraph" w:customStyle="1" w:styleId="IASBNormalnparaL2">
    <w:name w:val="IASB Normal nparaL2"/>
    <w:basedOn w:val="IASBNormalnparaL1"/>
    <w:pPr>
      <w:ind w:left="2347"/>
    </w:pPr>
  </w:style>
  <w:style w:type="paragraph" w:customStyle="1" w:styleId="IASBNormalnparaL3">
    <w:name w:val="IASB Normal nparaL3"/>
    <w:basedOn w:val="IASBNormalnparaL2"/>
    <w:pPr>
      <w:ind w:left="3129"/>
    </w:pPr>
  </w:style>
  <w:style w:type="paragraph" w:customStyle="1" w:styleId="IASBNormalnparaL4">
    <w:name w:val="IASB Normal nparaL4"/>
    <w:basedOn w:val="IASBNormalnparaL3"/>
    <w:pPr>
      <w:ind w:left="3912"/>
    </w:pPr>
  </w:style>
  <w:style w:type="paragraph" w:customStyle="1" w:styleId="IASBNormalnparaL5">
    <w:name w:val="IASB Normal nparaL5"/>
    <w:basedOn w:val="IASBNormalnparaL4"/>
    <w:pPr>
      <w:ind w:left="4694"/>
    </w:pPr>
  </w:style>
  <w:style w:type="paragraph" w:customStyle="1" w:styleId="IASBNormalArialnparaL2">
    <w:name w:val="IASB Normal Arial nparaL2"/>
    <w:basedOn w:val="IASBNormalnparaL1"/>
    <w:pPr>
      <w:ind w:left="2347"/>
    </w:pPr>
    <w:rPr>
      <w:rFonts w:ascii="Arial" w:hAnsi="Arial"/>
    </w:rPr>
  </w:style>
  <w:style w:type="paragraph" w:customStyle="1" w:styleId="IASBNormalArialnparaL3">
    <w:name w:val="IASB Normal Arial nparaL3"/>
    <w:basedOn w:val="IASBNormalnparaL2"/>
    <w:pPr>
      <w:ind w:left="3129"/>
    </w:pPr>
    <w:rPr>
      <w:rFonts w:ascii="Arial" w:hAnsi="Arial"/>
    </w:rPr>
  </w:style>
  <w:style w:type="paragraph" w:customStyle="1" w:styleId="IASBNormalArialnparaL4">
    <w:name w:val="IASB Normal Arial nparaL4"/>
    <w:basedOn w:val="IASBNormalnparaL3"/>
    <w:pPr>
      <w:ind w:left="3912"/>
    </w:pPr>
    <w:rPr>
      <w:rFonts w:ascii="Arial" w:hAnsi="Arial"/>
    </w:rPr>
  </w:style>
  <w:style w:type="paragraph" w:customStyle="1" w:styleId="IASBNormalArialnparaL5">
    <w:name w:val="IASB Normal Arial nparaL5"/>
    <w:basedOn w:val="IASBNormalnparaL4"/>
    <w:pPr>
      <w:ind w:left="4694"/>
    </w:pPr>
    <w:rPr>
      <w:rFonts w:ascii="Arial" w:hAnsi="Arial"/>
    </w:rPr>
  </w:style>
  <w:style w:type="paragraph" w:customStyle="1" w:styleId="IASBNormalnparaL1P">
    <w:name w:val="IASB Normal nparaL1P"/>
    <w:basedOn w:val="IASBNormalnparaL2"/>
    <w:pPr>
      <w:ind w:left="1565" w:firstLine="0"/>
    </w:pPr>
  </w:style>
  <w:style w:type="paragraph" w:customStyle="1" w:styleId="IASBNormalnparaL2P">
    <w:name w:val="IASB Normal nparaL2P"/>
    <w:basedOn w:val="IASBNormalnparaL1P"/>
    <w:pPr>
      <w:ind w:left="2347"/>
    </w:pPr>
  </w:style>
  <w:style w:type="paragraph" w:customStyle="1" w:styleId="IASBNormalnparaL3P">
    <w:name w:val="IASB Normal nparaL3P"/>
    <w:basedOn w:val="IASBNormalnparaL2P"/>
    <w:pPr>
      <w:ind w:left="3130"/>
    </w:pPr>
  </w:style>
  <w:style w:type="paragraph" w:customStyle="1" w:styleId="IASBNormalnparaL4P">
    <w:name w:val="IASB Normal nparaL4P"/>
    <w:basedOn w:val="IASBNormalnparaL3P"/>
    <w:pPr>
      <w:ind w:left="3912"/>
    </w:pPr>
  </w:style>
  <w:style w:type="paragraph" w:customStyle="1" w:styleId="IASBNormalnparaL5P">
    <w:name w:val="IASB Normal nparaL5P"/>
    <w:basedOn w:val="IASBNormalnparaL4P"/>
    <w:pPr>
      <w:ind w:left="4751"/>
    </w:pPr>
  </w:style>
  <w:style w:type="paragraph" w:customStyle="1" w:styleId="IASBBlockquoteL1">
    <w:name w:val="IASB BlockquoteL1"/>
    <w:basedOn w:val="IASBBlockquote"/>
    <w:pPr>
      <w:ind w:left="2347" w:hanging="782"/>
    </w:pPr>
  </w:style>
  <w:style w:type="paragraph" w:customStyle="1" w:styleId="IASBBlockquoteL2">
    <w:name w:val="IASB BlockquoteL2"/>
    <w:basedOn w:val="IASBBlockquoteL1"/>
    <w:pPr>
      <w:ind w:left="3129"/>
    </w:pPr>
  </w:style>
  <w:style w:type="paragraph" w:customStyle="1" w:styleId="IASBNormalL2">
    <w:name w:val="IASB Normal L2"/>
    <w:basedOn w:val="IASBNormalL1"/>
    <w:pPr>
      <w:ind w:left="1564"/>
    </w:pPr>
  </w:style>
  <w:style w:type="paragraph" w:customStyle="1" w:styleId="IASBNormalArialL2">
    <w:name w:val="IASB Normal Arial L2"/>
    <w:basedOn w:val="IASBNormalL1"/>
    <w:pPr>
      <w:ind w:left="1564"/>
    </w:pPr>
    <w:rPr>
      <w:rFonts w:ascii="Arial" w:hAnsi="Arial"/>
    </w:rPr>
  </w:style>
  <w:style w:type="paragraph" w:customStyle="1" w:styleId="IASBTOCQuartery">
    <w:name w:val="IASB TOC Quartery"/>
    <w:basedOn w:val="IASBTOCTertiary"/>
    <w:pPr>
      <w:ind w:left="851"/>
    </w:pPr>
  </w:style>
  <w:style w:type="paragraph" w:customStyle="1" w:styleId="IASBNoteTitle">
    <w:name w:val="IASB Note Title"/>
    <w:basedOn w:val="IASBTOCPrimary"/>
    <w:pPr>
      <w:jc w:val="center"/>
    </w:pPr>
    <w:rPr>
      <w:b w:val="0"/>
      <w:caps w:val="0"/>
      <w:sz w:val="24"/>
    </w:rPr>
  </w:style>
  <w:style w:type="paragraph" w:customStyle="1" w:styleId="IASBNormalL1P">
    <w:name w:val="IASB Normal L1P"/>
    <w:basedOn w:val="IASBNormalL1"/>
    <w:qFormat/>
    <w:pPr>
      <w:ind w:firstLine="0"/>
    </w:pPr>
  </w:style>
  <w:style w:type="paragraph" w:customStyle="1" w:styleId="IASBNormalL2P">
    <w:name w:val="IASB Normal L2P"/>
    <w:basedOn w:val="IASBNormalL1P"/>
    <w:qFormat/>
    <w:pPr>
      <w:ind w:left="1565"/>
    </w:pPr>
  </w:style>
  <w:style w:type="paragraph" w:customStyle="1" w:styleId="IASBNormalnparaC">
    <w:name w:val="IASB Normal nparaC"/>
    <w:basedOn w:val="IASBNormalnpara"/>
    <w:qFormat/>
    <w:pPr>
      <w:spacing w:before="0"/>
    </w:pPr>
  </w:style>
  <w:style w:type="paragraph" w:customStyle="1" w:styleId="IASBEdupara">
    <w:name w:val="IASB Edu para"/>
    <w:basedOn w:val="IASBNormal"/>
    <w:qFormat/>
  </w:style>
  <w:style w:type="paragraph" w:customStyle="1" w:styleId="IASBTableBoldTNR">
    <w:name w:val="IASB Table Bold TNR"/>
    <w:basedOn w:val="Normal"/>
    <w:qFormat/>
    <w:pPr>
      <w:spacing w:before="120"/>
    </w:pPr>
    <w:rPr>
      <w:b/>
      <w:sz w:val="19"/>
      <w:szCs w:val="20"/>
      <w:lang w:eastAsia="en-GB"/>
    </w:rPr>
  </w:style>
  <w:style w:type="paragraph" w:customStyle="1" w:styleId="IASBTableHeaderTNR">
    <w:name w:val="IASB Table Header TNR"/>
    <w:basedOn w:val="Normal"/>
    <w:qFormat/>
    <w:pPr>
      <w:keepNext/>
      <w:spacing w:before="120" w:after="200" w:line="276" w:lineRule="auto"/>
    </w:pPr>
    <w:rPr>
      <w:sz w:val="19"/>
      <w:szCs w:val="20"/>
      <w:lang w:eastAsia="en-GB"/>
    </w:rPr>
  </w:style>
  <w:style w:type="paragraph" w:customStyle="1" w:styleId="IASBTableTNR">
    <w:name w:val="IASB Table TNR"/>
    <w:basedOn w:val="Normal"/>
    <w:qFormat/>
    <w:pPr>
      <w:spacing w:before="120"/>
    </w:pPr>
    <w:rPr>
      <w:sz w:val="19"/>
      <w:szCs w:val="20"/>
      <w:lang w:eastAsia="en-GB"/>
    </w:rPr>
  </w:style>
  <w:style w:type="paragraph" w:customStyle="1" w:styleId="IASBTableNormal">
    <w:name w:val="IASB Table Normal"/>
    <w:basedOn w:val="Normal"/>
    <w:pPr>
      <w:spacing w:before="80" w:after="60"/>
    </w:pPr>
    <w:rPr>
      <w:sz w:val="19"/>
      <w:szCs w:val="20"/>
      <w:lang w:eastAsia="en-GB"/>
    </w:rPr>
  </w:style>
  <w:style w:type="paragraph" w:customStyle="1" w:styleId="IASBTableArial">
    <w:name w:val="IASB Table Arial"/>
    <w:basedOn w:val="Normal"/>
    <w:pPr>
      <w:spacing w:before="120"/>
    </w:pPr>
    <w:rPr>
      <w:rFonts w:ascii="Arial" w:hAnsi="Arial"/>
      <w:sz w:val="18"/>
      <w:szCs w:val="20"/>
      <w:lang w:eastAsia="en-GB"/>
    </w:rPr>
  </w:style>
  <w:style w:type="paragraph" w:customStyle="1" w:styleId="IASBTableBoldArial">
    <w:name w:val="IASB Table Bold Arial"/>
    <w:basedOn w:val="IASBTableArial"/>
    <w:qFormat/>
    <w:pPr>
      <w:spacing w:after="60"/>
    </w:pPr>
    <w:rPr>
      <w:b/>
    </w:rPr>
  </w:style>
  <w:style w:type="paragraph" w:customStyle="1" w:styleId="IASBTableHeaderArial">
    <w:name w:val="IASB Table Header Arial"/>
    <w:basedOn w:val="IASBTableArial"/>
    <w:qFormat/>
    <w:pPr>
      <w:keepNext/>
      <w:spacing w:after="100"/>
    </w:pPr>
    <w:rPr>
      <w:b/>
    </w:rPr>
  </w:style>
  <w:style w:type="character" w:styleId="Referencakrajnjebiljeke">
    <w:name w:val="endnote reference"/>
    <w:basedOn w:val="Zadanifontodlomka"/>
    <w:uiPriority w:val="99"/>
    <w:semiHidden/>
    <w:unhideWhenUsed/>
    <w:rsid w:val="004B3E7E"/>
    <w:rPr>
      <w:rFonts w:cs="Times New Roman"/>
      <w:vertAlign w:val="superscript"/>
    </w:rPr>
  </w:style>
  <w:style w:type="paragraph" w:customStyle="1" w:styleId="IASBNormalL3">
    <w:name w:val="IASB Normal L3"/>
    <w:basedOn w:val="IASBNormalL2"/>
    <w:qFormat/>
    <w:rsid w:val="0078108C"/>
    <w:pPr>
      <w:ind w:left="2268" w:hanging="708"/>
    </w:pPr>
  </w:style>
  <w:style w:type="paragraph" w:customStyle="1" w:styleId="IASBNormalArialL3">
    <w:name w:val="IASB Normal Arial L3"/>
    <w:basedOn w:val="IASBNormalL2"/>
    <w:qFormat/>
    <w:rsid w:val="0078108C"/>
    <w:pPr>
      <w:ind w:left="2268" w:hanging="708"/>
    </w:pPr>
    <w:rPr>
      <w:rFonts w:ascii="Arial" w:hAnsi="Arial"/>
    </w:rPr>
  </w:style>
  <w:style w:type="paragraph" w:customStyle="1" w:styleId="IASBNormalL3P">
    <w:name w:val="IASB Normal L3P"/>
    <w:basedOn w:val="IASBNormalL2P"/>
    <w:qFormat/>
    <w:rsid w:val="0078108C"/>
    <w:pPr>
      <w:ind w:left="2268"/>
    </w:pPr>
  </w:style>
  <w:style w:type="paragraph" w:customStyle="1" w:styleId="IASBNormalL4">
    <w:name w:val="IASB Normal L4"/>
    <w:basedOn w:val="IASBNormalL3"/>
    <w:qFormat/>
    <w:rsid w:val="0078108C"/>
    <w:pPr>
      <w:ind w:left="2977"/>
    </w:pPr>
  </w:style>
  <w:style w:type="paragraph" w:customStyle="1" w:styleId="IASBNormalArialL4">
    <w:name w:val="IASB Normal Arial L4"/>
    <w:basedOn w:val="IASBNormalL3"/>
    <w:qFormat/>
    <w:rsid w:val="0078108C"/>
    <w:pPr>
      <w:ind w:left="2977"/>
    </w:pPr>
    <w:rPr>
      <w:rFonts w:ascii="Arial" w:hAnsi="Arial"/>
    </w:rPr>
  </w:style>
  <w:style w:type="paragraph" w:customStyle="1" w:styleId="IASBNormalL4P">
    <w:name w:val="IASB Normal L4P"/>
    <w:basedOn w:val="IASBNormalL3P"/>
    <w:qFormat/>
    <w:rsid w:val="0078108C"/>
    <w:pPr>
      <w:ind w:left="2977"/>
    </w:pPr>
  </w:style>
  <w:style w:type="paragraph" w:customStyle="1" w:styleId="SectionEnd">
    <w:name w:val="Section End"/>
    <w:basedOn w:val="IASBNormal"/>
    <w:qFormat/>
    <w:rsid w:val="009042DE"/>
    <w:pPr>
      <w:spacing w:before="0" w:after="0" w:line="40" w:lineRule="exact"/>
      <w:jc w:val="left"/>
    </w:pPr>
    <w:rPr>
      <w:sz w:val="8"/>
    </w:rPr>
  </w:style>
  <w:style w:type="paragraph" w:styleId="Revizija">
    <w:name w:val="Revision"/>
    <w:hidden/>
    <w:uiPriority w:val="99"/>
    <w:semiHidden/>
    <w:rsid w:val="00AE4565"/>
    <w:pPr>
      <w:spacing w:after="0" w:line="240" w:lineRule="auto"/>
    </w:pPr>
    <w:rPr>
      <w:sz w:val="24"/>
      <w:szCs w:val="24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AE45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456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4565"/>
    <w:rPr>
      <w:sz w:val="20"/>
      <w:szCs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456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4565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header" Target="header15.xml"/><Relationship Id="rId21" Type="http://schemas.openxmlformats.org/officeDocument/2006/relationships/footer" Target="footer5.xml"/><Relationship Id="rId34" Type="http://schemas.openxmlformats.org/officeDocument/2006/relationships/footer" Target="footer12.xml"/><Relationship Id="rId42" Type="http://schemas.openxmlformats.org/officeDocument/2006/relationships/footer" Target="footer16.xml"/><Relationship Id="rId47" Type="http://schemas.openxmlformats.org/officeDocument/2006/relationships/header" Target="header19.xml"/><Relationship Id="rId50" Type="http://schemas.openxmlformats.org/officeDocument/2006/relationships/footer" Target="footer20.xm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41" Type="http://schemas.openxmlformats.org/officeDocument/2006/relationships/footer" Target="footer15.xml"/><Relationship Id="rId54" Type="http://schemas.openxmlformats.org/officeDocument/2006/relationships/footer" Target="footer2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3.xml"/><Relationship Id="rId40" Type="http://schemas.openxmlformats.org/officeDocument/2006/relationships/header" Target="header16.xml"/><Relationship Id="rId45" Type="http://schemas.openxmlformats.org/officeDocument/2006/relationships/footer" Target="footer17.xml"/><Relationship Id="rId53" Type="http://schemas.openxmlformats.org/officeDocument/2006/relationships/footer" Target="footer2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1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oter" Target="footer10.xml"/><Relationship Id="rId35" Type="http://schemas.openxmlformats.org/officeDocument/2006/relationships/header" Target="header13.xml"/><Relationship Id="rId43" Type="http://schemas.openxmlformats.org/officeDocument/2006/relationships/header" Target="header17.xml"/><Relationship Id="rId48" Type="http://schemas.openxmlformats.org/officeDocument/2006/relationships/header" Target="header20.xm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eader" Target="header2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284443D39C047BFB7B26CC769F073" ma:contentTypeVersion="19" ma:contentTypeDescription="Create a new document." ma:contentTypeScope="" ma:versionID="c67f1cd603e6bb5ff3c0d425deee8fbb">
  <xsd:schema xmlns:xsd="http://www.w3.org/2001/XMLSchema" xmlns:xs="http://www.w3.org/2001/XMLSchema" xmlns:p="http://schemas.microsoft.com/office/2006/metadata/properties" xmlns:ns2="ec49eb38-6cb5-483f-a298-4a90bdd00051" xmlns:ns3="dd1af2b0-f65d-434c-8a17-aadcdb553b78" targetNamespace="http://schemas.microsoft.com/office/2006/metadata/properties" ma:root="true" ma:fieldsID="45550e609c45576cf7171bf1fbe77a05" ns2:_="" ns3:_="">
    <xsd:import namespace="ec49eb38-6cb5-483f-a298-4a90bdd00051"/>
    <xsd:import namespace="dd1af2b0-f65d-434c-8a17-aadcdb553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9eb38-6cb5-483f-a298-4a90bdd00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2f0513-a2ef-49c9-8f64-129a7e784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af2b0-f65d-434c-8a17-aadcdb553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256988c-21c8-4111-8ccb-b7eec4617890}" ma:internalName="TaxCatchAll" ma:showField="CatchAllData" ma:web="dd1af2b0-f65d-434c-8a17-aadcdb553b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af2b0-f65d-434c-8a17-aadcdb553b78" xsi:nil="true"/>
    <lcf76f155ced4ddcb4097134ff3c332f xmlns="ec49eb38-6cb5-483f-a298-4a90bdd000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048A2-E874-46CE-AC07-45B1DACB4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61F26-BDAF-4728-9ECC-DBDD8E283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9eb38-6cb5-483f-a298-4a90bdd00051"/>
    <ds:schemaRef ds:uri="dd1af2b0-f65d-434c-8a17-aadcdb553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A4E100-8D73-4C95-890F-2FD16E917BAC}">
  <ds:schemaRefs>
    <ds:schemaRef ds:uri="http://schemas.microsoft.com/office/2006/metadata/properties"/>
    <ds:schemaRef ds:uri="http://schemas.microsoft.com/office/infopath/2007/PartnerControls"/>
    <ds:schemaRef ds:uri="dd1af2b0-f65d-434c-8a17-aadcdb553b78"/>
    <ds:schemaRef ds:uri="ec49eb38-6cb5-483f-a298-4a90bdd00051"/>
  </ds:schemaRefs>
</ds:datastoreItem>
</file>

<file path=customXml/itemProps4.xml><?xml version="1.0" encoding="utf-8"?>
<ds:datastoreItem xmlns:ds="http://schemas.openxmlformats.org/officeDocument/2006/customXml" ds:itemID="{D86050AD-2D40-4C83-9E51-3D358DD9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1711</Words>
  <Characters>9754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Korisnik</cp:lastModifiedBy>
  <cp:revision>2</cp:revision>
  <dcterms:created xsi:type="dcterms:W3CDTF">2026-01-30T13:25:00Z</dcterms:created>
  <dcterms:modified xsi:type="dcterms:W3CDTF">2026-01-30T13:25:00Z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0x01010083E284443D39C047BFB7B26CC769F073</vt:lpwstr>
  </property>
  <property fmtid="{D5CDD505-2E9C-101B-9397-08002B2CF9AE}" pid="3" name="MediaServiceImageTags">
    <vt:lpwstr/>
  </property>
</Properties>
</file>