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FA9C2" w14:textId="7259E061" w:rsidR="00014FB0" w:rsidRPr="00EF5D0A" w:rsidRDefault="00DF65E9" w:rsidP="001C3CBD">
      <w:pPr>
        <w:rPr>
          <w:lang w:val="hr-HR"/>
        </w:rPr>
        <w:sectPr w:rsidR="00014FB0" w:rsidRPr="00EF5D0A">
          <w:headerReference w:type="even" r:id="rId10"/>
          <w:headerReference w:type="default" r:id="rId11"/>
          <w:footerReference w:type="even" r:id="rId12"/>
          <w:footerReference w:type="default" r:id="rId13"/>
          <w:type w:val="oddPage"/>
          <w:pgSz w:w="11895" w:h="16834"/>
          <w:pgMar w:top="1440" w:right="1440" w:bottom="1440" w:left="1440" w:header="720" w:footer="720" w:gutter="0"/>
          <w:cols w:space="720"/>
        </w:sectPr>
      </w:pPr>
      <w:bookmarkStart w:id="0" w:name="unique_1"/>
      <w:bookmarkStart w:id="1" w:name="_GoBack"/>
      <w:bookmarkEnd w:id="1"/>
      <w:r>
        <w:rPr>
          <w:b/>
          <w:lang w:val="hr-HR"/>
        </w:rPr>
        <w:t xml:space="preserve">Ugovori </w:t>
      </w:r>
      <w:r w:rsidR="00A75706">
        <w:rPr>
          <w:b/>
          <w:lang w:val="hr-HR"/>
        </w:rPr>
        <w:t>o</w:t>
      </w:r>
      <w:r>
        <w:rPr>
          <w:b/>
          <w:lang w:val="hr-HR"/>
        </w:rPr>
        <w:t xml:space="preserve"> električn</w:t>
      </w:r>
      <w:r w:rsidR="00A75706">
        <w:rPr>
          <w:b/>
          <w:lang w:val="hr-HR"/>
        </w:rPr>
        <w:t>oj</w:t>
      </w:r>
      <w:r>
        <w:rPr>
          <w:b/>
          <w:lang w:val="hr-HR"/>
        </w:rPr>
        <w:t xml:space="preserve"> energij</w:t>
      </w:r>
      <w:r w:rsidR="00A75706">
        <w:rPr>
          <w:b/>
          <w:lang w:val="hr-HR"/>
        </w:rPr>
        <w:t>i</w:t>
      </w:r>
      <w:r>
        <w:rPr>
          <w:b/>
          <w:lang w:val="hr-HR"/>
        </w:rPr>
        <w:t xml:space="preserve"> iz izvora zavisnih od prirodnih uslova</w:t>
      </w:r>
      <w:r w:rsidR="001C3CBD" w:rsidRPr="00EF5D0A">
        <w:rPr>
          <w:lang w:val="hr-HR"/>
        </w:rPr>
        <w:br/>
      </w:r>
      <w:r w:rsidR="001C3CBD" w:rsidRPr="00EF5D0A">
        <w:rPr>
          <w:lang w:val="hr-HR"/>
        </w:rPr>
        <w:br/>
      </w:r>
      <w:r w:rsidR="000F51FD" w:rsidRPr="00EF5D0A">
        <w:rPr>
          <w:lang w:val="hr-HR"/>
        </w:rPr>
        <w:t>Izmjene i dopune MSFI-ja</w:t>
      </w:r>
      <w:r w:rsidR="001C3CBD" w:rsidRPr="00EF5D0A">
        <w:rPr>
          <w:lang w:val="hr-HR"/>
        </w:rPr>
        <w:t xml:space="preserve"> 9 </w:t>
      </w:r>
      <w:r w:rsidR="000F51FD" w:rsidRPr="00EF5D0A">
        <w:rPr>
          <w:lang w:val="hr-HR"/>
        </w:rPr>
        <w:t>i MSFI-ja</w:t>
      </w:r>
      <w:r w:rsidR="001C3CBD" w:rsidRPr="00EF5D0A">
        <w:rPr>
          <w:lang w:val="hr-HR"/>
        </w:rPr>
        <w:t xml:space="preserve"> 7</w:t>
      </w:r>
      <w:bookmarkEnd w:id="0"/>
    </w:p>
    <w:p w14:paraId="4ED20B28" w14:textId="2CFAB8D5" w:rsidR="00014FB0" w:rsidRPr="00EF5D0A" w:rsidRDefault="003521AD">
      <w:pPr>
        <w:pStyle w:val="IASBSectionTitle2NonInd"/>
        <w:rPr>
          <w:lang w:val="hr-HR"/>
        </w:rPr>
      </w:pPr>
      <w:bookmarkStart w:id="2" w:name="unique_6"/>
      <w:r w:rsidRPr="00EF5D0A">
        <w:rPr>
          <w:lang w:val="hr-HR"/>
        </w:rPr>
        <w:lastRenderedPageBreak/>
        <w:t>Izmjene i dopune MSFI-ja</w:t>
      </w:r>
      <w:r w:rsidR="001C3CBD" w:rsidRPr="00EF5D0A">
        <w:rPr>
          <w:lang w:val="hr-HR"/>
        </w:rPr>
        <w:t xml:space="preserve"> 9 </w:t>
      </w:r>
      <w:r w:rsidR="001C3CBD" w:rsidRPr="00EF5D0A">
        <w:rPr>
          <w:i/>
          <w:lang w:val="hr-HR"/>
        </w:rPr>
        <w:t>Finan</w:t>
      </w:r>
      <w:bookmarkEnd w:id="2"/>
      <w:r w:rsidR="00EF5D0A">
        <w:rPr>
          <w:i/>
          <w:lang w:val="hr-HR"/>
        </w:rPr>
        <w:t xml:space="preserve">sijski instrumenti </w:t>
      </w:r>
    </w:p>
    <w:p w14:paraId="6B02CAA2" w14:textId="77777777" w:rsidR="00014FB0" w:rsidRPr="00EF5D0A" w:rsidRDefault="00014FB0">
      <w:pPr>
        <w:pStyle w:val="IASBNormalnpara"/>
        <w:rPr>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014FB0" w:rsidRPr="00954FC1" w14:paraId="45E74457" w14:textId="77777777">
        <w:tc>
          <w:tcPr>
            <w:tcW w:w="50" w:type="pct"/>
            <w:tcBorders>
              <w:bottom w:val="single" w:sz="0" w:space="0" w:color="auto"/>
              <w:right w:val="single" w:sz="0" w:space="0" w:color="auto"/>
            </w:tcBorders>
          </w:tcPr>
          <w:p w14:paraId="65248AA2" w14:textId="1293DA97" w:rsidR="00014FB0" w:rsidRPr="00EF5D0A" w:rsidRDefault="00EF5D0A">
            <w:pPr>
              <w:pStyle w:val="IASBTableArial"/>
              <w:rPr>
                <w:lang w:val="hr-HR"/>
              </w:rPr>
            </w:pPr>
            <w:r>
              <w:rPr>
                <w:lang w:val="hr-HR"/>
              </w:rPr>
              <w:t xml:space="preserve">Uvedene su tačke </w:t>
            </w:r>
            <w:r w:rsidR="001C3CBD" w:rsidRPr="00EF5D0A">
              <w:rPr>
                <w:lang w:val="hr-HR"/>
              </w:rPr>
              <w:t>2.3</w:t>
            </w:r>
            <w:r w:rsidR="00DF65E9">
              <w:rPr>
                <w:lang w:val="hr-HR"/>
              </w:rPr>
              <w:t>.</w:t>
            </w:r>
            <w:r w:rsidR="001C3CBD" w:rsidRPr="00EF5D0A">
              <w:rPr>
                <w:lang w:val="hr-HR"/>
              </w:rPr>
              <w:t>A</w:t>
            </w:r>
            <w:r>
              <w:rPr>
                <w:lang w:val="hr-HR"/>
              </w:rPr>
              <w:t xml:space="preserve">, </w:t>
            </w:r>
            <w:r w:rsidR="001C3CBD" w:rsidRPr="00EF5D0A">
              <w:rPr>
                <w:lang w:val="hr-HR"/>
              </w:rPr>
              <w:t>2.3</w:t>
            </w:r>
            <w:r w:rsidR="00DF65E9">
              <w:rPr>
                <w:lang w:val="hr-HR"/>
              </w:rPr>
              <w:t>.</w:t>
            </w:r>
            <w:r w:rsidR="001C3CBD" w:rsidRPr="00EF5D0A">
              <w:rPr>
                <w:lang w:val="hr-HR"/>
              </w:rPr>
              <w:t>B, 2.8, 6.10.1</w:t>
            </w:r>
            <w:r>
              <w:rPr>
                <w:lang w:val="hr-HR"/>
              </w:rPr>
              <w:t xml:space="preserve">, </w:t>
            </w:r>
            <w:r w:rsidR="001C3CBD" w:rsidRPr="00EF5D0A">
              <w:rPr>
                <w:lang w:val="hr-HR"/>
              </w:rPr>
              <w:t>6.10.2, 7.1.15, 7.2.51</w:t>
            </w:r>
            <w:r>
              <w:rPr>
                <w:lang w:val="hr-HR"/>
              </w:rPr>
              <w:t xml:space="preserve">, 7.2.52, </w:t>
            </w:r>
            <w:r w:rsidR="001C3CBD" w:rsidRPr="00EF5D0A">
              <w:rPr>
                <w:lang w:val="hr-HR"/>
              </w:rPr>
              <w:t>7.2.53, B2.7</w:t>
            </w:r>
            <w:r>
              <w:rPr>
                <w:lang w:val="hr-HR"/>
              </w:rPr>
              <w:t xml:space="preserve">, </w:t>
            </w:r>
            <w:r w:rsidR="001C3CBD" w:rsidRPr="00EF5D0A">
              <w:rPr>
                <w:lang w:val="hr-HR"/>
              </w:rPr>
              <w:t xml:space="preserve">B2.8 </w:t>
            </w:r>
            <w:r>
              <w:rPr>
                <w:lang w:val="hr-HR"/>
              </w:rPr>
              <w:t xml:space="preserve">i njihovi podnaslovi te podnaslov ispred tačke </w:t>
            </w:r>
            <w:r w:rsidR="001C3CBD" w:rsidRPr="00EF5D0A">
              <w:rPr>
                <w:lang w:val="hr-HR"/>
              </w:rPr>
              <w:t xml:space="preserve">2.4. </w:t>
            </w:r>
            <w:r>
              <w:rPr>
                <w:lang w:val="hr-HR"/>
              </w:rPr>
              <w:t xml:space="preserve">Izvršene su izmjene i dopune tačke </w:t>
            </w:r>
            <w:r w:rsidR="001C3CBD" w:rsidRPr="00EF5D0A">
              <w:rPr>
                <w:lang w:val="hr-HR"/>
              </w:rPr>
              <w:t>2.6</w:t>
            </w:r>
            <w:r>
              <w:rPr>
                <w:lang w:val="hr-HR"/>
              </w:rPr>
              <w:t xml:space="preserve">. Novi tekst je podvučen. Tačke </w:t>
            </w:r>
            <w:r w:rsidR="001C3CBD" w:rsidRPr="00EF5D0A">
              <w:rPr>
                <w:lang w:val="hr-HR"/>
              </w:rPr>
              <w:t xml:space="preserve">2.4 </w:t>
            </w:r>
            <w:r>
              <w:rPr>
                <w:lang w:val="hr-HR"/>
              </w:rPr>
              <w:t xml:space="preserve">i </w:t>
            </w:r>
            <w:r w:rsidR="001C3CBD" w:rsidRPr="00EF5D0A">
              <w:rPr>
                <w:lang w:val="hr-HR"/>
              </w:rPr>
              <w:t xml:space="preserve">2.5 </w:t>
            </w:r>
            <w:r>
              <w:rPr>
                <w:lang w:val="hr-HR"/>
              </w:rPr>
              <w:t xml:space="preserve">nisu pretrpjele nikakve izmjene, ali su uvrštene ovdje zbog </w:t>
            </w:r>
            <w:r w:rsidR="00DF65E9">
              <w:rPr>
                <w:lang w:val="hr-HR"/>
              </w:rPr>
              <w:t>bolje</w:t>
            </w:r>
            <w:r>
              <w:rPr>
                <w:lang w:val="hr-HR"/>
              </w:rPr>
              <w:t xml:space="preserve"> preglednosti. </w:t>
            </w:r>
          </w:p>
        </w:tc>
      </w:tr>
    </w:tbl>
    <w:p w14:paraId="54358F20" w14:textId="77777777" w:rsidR="00014FB0" w:rsidRPr="00EF5D0A" w:rsidRDefault="00014FB0">
      <w:pPr>
        <w:pStyle w:val="IASBNormalnpara"/>
        <w:rPr>
          <w:lang w:val="hr-HR"/>
        </w:rPr>
      </w:pPr>
    </w:p>
    <w:p w14:paraId="25C0B071" w14:textId="698920EA" w:rsidR="00014FB0" w:rsidRPr="00EF5D0A" w:rsidRDefault="00EF5D0A">
      <w:pPr>
        <w:pStyle w:val="IASBSectionTitle2NonInd"/>
        <w:rPr>
          <w:lang w:val="hr-HR"/>
        </w:rPr>
      </w:pPr>
      <w:bookmarkStart w:id="3" w:name="unique_15"/>
      <w:r>
        <w:rPr>
          <w:lang w:val="hr-HR"/>
        </w:rPr>
        <w:t>Poglavlje</w:t>
      </w:r>
      <w:r w:rsidR="001C3CBD" w:rsidRPr="00EF5D0A">
        <w:rPr>
          <w:lang w:val="hr-HR"/>
        </w:rPr>
        <w:t xml:space="preserve"> 2 </w:t>
      </w:r>
      <w:r>
        <w:rPr>
          <w:lang w:val="hr-HR"/>
        </w:rPr>
        <w:t xml:space="preserve">Djelokrug </w:t>
      </w:r>
      <w:bookmarkEnd w:id="3"/>
    </w:p>
    <w:p w14:paraId="6C3DB584" w14:textId="77777777" w:rsidR="00014FB0" w:rsidRPr="00EF5D0A" w:rsidRDefault="001C3CBD">
      <w:pPr>
        <w:pStyle w:val="IASBNormalnpara"/>
        <w:rPr>
          <w:lang w:val="hr-HR"/>
        </w:rPr>
      </w:pPr>
      <w:r w:rsidRPr="00EF5D0A">
        <w:rPr>
          <w:lang w:val="hr-HR"/>
        </w:rPr>
        <w:tab/>
        <w:t>...</w:t>
      </w:r>
    </w:p>
    <w:p w14:paraId="16697A53" w14:textId="7020678A" w:rsidR="00014FB0" w:rsidRPr="00EF5D0A" w:rsidRDefault="001C3CBD">
      <w:pPr>
        <w:pStyle w:val="IASBNormalnpara"/>
        <w:rPr>
          <w:lang w:val="hr-HR"/>
        </w:rPr>
      </w:pPr>
      <w:r w:rsidRPr="00EF5D0A">
        <w:rPr>
          <w:b/>
          <w:u w:val="single"/>
          <w:lang w:val="hr-HR"/>
        </w:rPr>
        <w:t>2.3</w:t>
      </w:r>
      <w:r w:rsidR="003F7D17">
        <w:rPr>
          <w:b/>
          <w:u w:val="single"/>
          <w:lang w:val="hr-HR"/>
        </w:rPr>
        <w:t>.</w:t>
      </w:r>
      <w:r w:rsidRPr="00EF5D0A">
        <w:rPr>
          <w:b/>
          <w:u w:val="single"/>
          <w:lang w:val="hr-HR"/>
        </w:rPr>
        <w:t>A</w:t>
      </w:r>
      <w:r w:rsidRPr="00EF5D0A">
        <w:rPr>
          <w:lang w:val="hr-HR"/>
        </w:rPr>
        <w:tab/>
      </w:r>
      <w:r w:rsidR="007308CE">
        <w:rPr>
          <w:b/>
          <w:u w:val="single"/>
          <w:lang w:val="hr-HR"/>
        </w:rPr>
        <w:t xml:space="preserve">Tačke </w:t>
      </w:r>
      <w:r w:rsidRPr="00EF5D0A">
        <w:rPr>
          <w:b/>
          <w:u w:val="single"/>
          <w:lang w:val="hr-HR"/>
        </w:rPr>
        <w:t>6.10.1</w:t>
      </w:r>
      <w:r w:rsidR="007308CE">
        <w:rPr>
          <w:b/>
          <w:u w:val="single"/>
          <w:lang w:val="hr-HR"/>
        </w:rPr>
        <w:t xml:space="preserve">, </w:t>
      </w:r>
      <w:r w:rsidRPr="00EF5D0A">
        <w:rPr>
          <w:b/>
          <w:u w:val="single"/>
          <w:lang w:val="hr-HR"/>
        </w:rPr>
        <w:t>6.10.2</w:t>
      </w:r>
      <w:r w:rsidR="007308CE">
        <w:rPr>
          <w:b/>
          <w:u w:val="single"/>
          <w:lang w:val="hr-HR"/>
        </w:rPr>
        <w:t xml:space="preserve">, </w:t>
      </w:r>
      <w:r w:rsidRPr="00EF5D0A">
        <w:rPr>
          <w:b/>
          <w:u w:val="single"/>
          <w:lang w:val="hr-HR"/>
        </w:rPr>
        <w:t>B2.7</w:t>
      </w:r>
      <w:r w:rsidR="007308CE">
        <w:rPr>
          <w:b/>
          <w:u w:val="single"/>
          <w:lang w:val="hr-HR"/>
        </w:rPr>
        <w:t xml:space="preserve"> i </w:t>
      </w:r>
      <w:r w:rsidRPr="00EF5D0A">
        <w:rPr>
          <w:b/>
          <w:u w:val="single"/>
          <w:lang w:val="hr-HR"/>
        </w:rPr>
        <w:t xml:space="preserve">B2.8 </w:t>
      </w:r>
      <w:r w:rsidR="007308CE">
        <w:rPr>
          <w:b/>
          <w:u w:val="single"/>
          <w:lang w:val="hr-HR"/>
        </w:rPr>
        <w:t xml:space="preserve">treba </w:t>
      </w:r>
      <w:r w:rsidR="00DF65E9">
        <w:rPr>
          <w:b/>
          <w:u w:val="single"/>
          <w:lang w:val="hr-HR"/>
        </w:rPr>
        <w:t xml:space="preserve">se </w:t>
      </w:r>
      <w:r w:rsidR="007308CE">
        <w:rPr>
          <w:b/>
          <w:u w:val="single"/>
          <w:lang w:val="hr-HR"/>
        </w:rPr>
        <w:t xml:space="preserve">primjenjivati samo na ugovore </w:t>
      </w:r>
      <w:r w:rsidR="00A75706">
        <w:rPr>
          <w:b/>
          <w:u w:val="single"/>
          <w:lang w:val="hr-HR"/>
        </w:rPr>
        <w:t>o</w:t>
      </w:r>
      <w:r w:rsidR="007308CE">
        <w:rPr>
          <w:b/>
          <w:u w:val="single"/>
          <w:lang w:val="hr-HR"/>
        </w:rPr>
        <w:t xml:space="preserve"> električn</w:t>
      </w:r>
      <w:r w:rsidR="00A75706">
        <w:rPr>
          <w:b/>
          <w:u w:val="single"/>
          <w:lang w:val="hr-HR"/>
        </w:rPr>
        <w:t>oj</w:t>
      </w:r>
      <w:r w:rsidR="007308CE">
        <w:rPr>
          <w:b/>
          <w:u w:val="single"/>
          <w:lang w:val="hr-HR"/>
        </w:rPr>
        <w:t xml:space="preserve"> energij</w:t>
      </w:r>
      <w:r w:rsidR="00A75706">
        <w:rPr>
          <w:b/>
          <w:u w:val="single"/>
          <w:lang w:val="hr-HR"/>
        </w:rPr>
        <w:t>i</w:t>
      </w:r>
      <w:r w:rsidR="00DF65E9">
        <w:rPr>
          <w:b/>
          <w:u w:val="single"/>
          <w:lang w:val="hr-HR"/>
        </w:rPr>
        <w:t xml:space="preserve"> iz izvora</w:t>
      </w:r>
      <w:r w:rsidR="007308CE">
        <w:rPr>
          <w:b/>
          <w:u w:val="single"/>
          <w:lang w:val="hr-HR"/>
        </w:rPr>
        <w:t xml:space="preserve"> zavisn</w:t>
      </w:r>
      <w:r w:rsidR="00DF65E9">
        <w:rPr>
          <w:b/>
          <w:u w:val="single"/>
          <w:lang w:val="hr-HR"/>
        </w:rPr>
        <w:t>ih</w:t>
      </w:r>
      <w:r w:rsidR="007308CE">
        <w:rPr>
          <w:b/>
          <w:u w:val="single"/>
          <w:lang w:val="hr-HR"/>
        </w:rPr>
        <w:t xml:space="preserve"> od prirodnih </w:t>
      </w:r>
      <w:r w:rsidR="00A75706">
        <w:rPr>
          <w:b/>
          <w:u w:val="single"/>
          <w:lang w:val="hr-HR"/>
        </w:rPr>
        <w:t>uslova.</w:t>
      </w:r>
      <w:r w:rsidR="007308CE">
        <w:rPr>
          <w:b/>
          <w:u w:val="single"/>
          <w:lang w:val="hr-HR"/>
        </w:rPr>
        <w:t xml:space="preserve"> </w:t>
      </w:r>
      <w:r w:rsidR="00DF65E9">
        <w:rPr>
          <w:b/>
          <w:u w:val="single"/>
          <w:lang w:val="hr-HR"/>
        </w:rPr>
        <w:t xml:space="preserve">Ugovori </w:t>
      </w:r>
      <w:r w:rsidR="009D643F">
        <w:rPr>
          <w:b/>
          <w:u w:val="single"/>
          <w:lang w:val="hr-HR"/>
        </w:rPr>
        <w:t>o</w:t>
      </w:r>
      <w:r w:rsidR="00DF65E9">
        <w:rPr>
          <w:b/>
          <w:u w:val="single"/>
          <w:lang w:val="hr-HR"/>
        </w:rPr>
        <w:t xml:space="preserve"> električn</w:t>
      </w:r>
      <w:r w:rsidR="009D643F">
        <w:rPr>
          <w:b/>
          <w:u w:val="single"/>
          <w:lang w:val="hr-HR"/>
        </w:rPr>
        <w:t>oj</w:t>
      </w:r>
      <w:r w:rsidR="00DF65E9">
        <w:rPr>
          <w:b/>
          <w:u w:val="single"/>
          <w:lang w:val="hr-HR"/>
        </w:rPr>
        <w:t xml:space="preserve"> energij</w:t>
      </w:r>
      <w:r w:rsidR="009D643F">
        <w:rPr>
          <w:b/>
          <w:u w:val="single"/>
          <w:lang w:val="hr-HR"/>
        </w:rPr>
        <w:t>i</w:t>
      </w:r>
      <w:r w:rsidR="00DF65E9">
        <w:rPr>
          <w:b/>
          <w:u w:val="single"/>
          <w:lang w:val="hr-HR"/>
        </w:rPr>
        <w:t xml:space="preserve"> iz izvora zavisnih od prirodnih uslova </w:t>
      </w:r>
      <w:r w:rsidR="007308CE">
        <w:rPr>
          <w:b/>
          <w:u w:val="single"/>
          <w:lang w:val="hr-HR"/>
        </w:rPr>
        <w:t xml:space="preserve">su ugovori koji subjekte izlažu promjenjivosti </w:t>
      </w:r>
      <w:r w:rsidR="009D643F">
        <w:rPr>
          <w:b/>
          <w:u w:val="single"/>
          <w:lang w:val="hr-HR"/>
        </w:rPr>
        <w:t>predmetne</w:t>
      </w:r>
      <w:r w:rsidR="007308CE">
        <w:rPr>
          <w:b/>
          <w:u w:val="single"/>
          <w:lang w:val="hr-HR"/>
        </w:rPr>
        <w:t xml:space="preserve"> količine električne energije </w:t>
      </w:r>
      <w:r w:rsidR="009D643F">
        <w:rPr>
          <w:b/>
          <w:u w:val="single"/>
          <w:lang w:val="hr-HR"/>
        </w:rPr>
        <w:t xml:space="preserve">zbog toga što </w:t>
      </w:r>
      <w:r w:rsidR="007308CE">
        <w:rPr>
          <w:b/>
          <w:u w:val="single"/>
          <w:lang w:val="hr-HR"/>
        </w:rPr>
        <w:t>izvor iz kojeg potiče zavis</w:t>
      </w:r>
      <w:r w:rsidR="009D643F">
        <w:rPr>
          <w:b/>
          <w:u w:val="single"/>
          <w:lang w:val="hr-HR"/>
        </w:rPr>
        <w:t>i</w:t>
      </w:r>
      <w:r w:rsidR="007308CE">
        <w:rPr>
          <w:b/>
          <w:u w:val="single"/>
          <w:lang w:val="hr-HR"/>
        </w:rPr>
        <w:t xml:space="preserve"> od prirodnih uslova koje nije moguće kontrolisati (poput vremenskih prilika</w:t>
      </w:r>
      <w:r w:rsidRPr="00EF5D0A">
        <w:rPr>
          <w:b/>
          <w:u w:val="single"/>
          <w:lang w:val="hr-HR"/>
        </w:rPr>
        <w:t xml:space="preserve">). </w:t>
      </w:r>
      <w:r w:rsidR="007308CE">
        <w:rPr>
          <w:b/>
          <w:u w:val="single"/>
          <w:lang w:val="hr-HR"/>
        </w:rPr>
        <w:t xml:space="preserve">U ugovore </w:t>
      </w:r>
      <w:r w:rsidR="009D643F">
        <w:rPr>
          <w:b/>
          <w:u w:val="single"/>
          <w:lang w:val="hr-HR"/>
        </w:rPr>
        <w:t>o</w:t>
      </w:r>
      <w:r w:rsidR="007308CE">
        <w:rPr>
          <w:b/>
          <w:u w:val="single"/>
          <w:lang w:val="hr-HR"/>
        </w:rPr>
        <w:t xml:space="preserve"> električn</w:t>
      </w:r>
      <w:r w:rsidR="009D643F">
        <w:rPr>
          <w:b/>
          <w:u w:val="single"/>
          <w:lang w:val="hr-HR"/>
        </w:rPr>
        <w:t>oj</w:t>
      </w:r>
      <w:r w:rsidR="007308CE">
        <w:rPr>
          <w:b/>
          <w:u w:val="single"/>
          <w:lang w:val="hr-HR"/>
        </w:rPr>
        <w:t xml:space="preserve"> energij</w:t>
      </w:r>
      <w:r w:rsidR="009D643F">
        <w:rPr>
          <w:b/>
          <w:u w:val="single"/>
          <w:lang w:val="hr-HR"/>
        </w:rPr>
        <w:t>i</w:t>
      </w:r>
      <w:r w:rsidR="00DF65E9">
        <w:rPr>
          <w:b/>
          <w:u w:val="single"/>
          <w:lang w:val="hr-HR"/>
        </w:rPr>
        <w:t xml:space="preserve"> iz </w:t>
      </w:r>
      <w:r w:rsidR="007308CE">
        <w:rPr>
          <w:b/>
          <w:u w:val="single"/>
          <w:lang w:val="hr-HR"/>
        </w:rPr>
        <w:t xml:space="preserve">izvora </w:t>
      </w:r>
      <w:r w:rsidR="00DF65E9">
        <w:rPr>
          <w:b/>
          <w:u w:val="single"/>
          <w:lang w:val="hr-HR"/>
        </w:rPr>
        <w:t xml:space="preserve">zavisnih od prirodnih uslova </w:t>
      </w:r>
      <w:r w:rsidR="007308CE">
        <w:rPr>
          <w:b/>
          <w:u w:val="single"/>
          <w:lang w:val="hr-HR"/>
        </w:rPr>
        <w:t xml:space="preserve">spadaju </w:t>
      </w:r>
      <w:r w:rsidR="00C10024">
        <w:rPr>
          <w:b/>
          <w:u w:val="single"/>
          <w:lang w:val="hr-HR"/>
        </w:rPr>
        <w:t xml:space="preserve">i ugovori </w:t>
      </w:r>
      <w:r w:rsidR="00DF65E9">
        <w:rPr>
          <w:b/>
          <w:u w:val="single"/>
          <w:lang w:val="hr-HR"/>
        </w:rPr>
        <w:t xml:space="preserve">o </w:t>
      </w:r>
      <w:r w:rsidR="003F7D17">
        <w:rPr>
          <w:b/>
          <w:u w:val="single"/>
          <w:lang w:val="hr-HR"/>
        </w:rPr>
        <w:t xml:space="preserve">kupovini ili prodaji </w:t>
      </w:r>
      <w:r w:rsidR="00C10024">
        <w:rPr>
          <w:b/>
          <w:u w:val="single"/>
          <w:lang w:val="hr-HR"/>
        </w:rPr>
        <w:t>električn</w:t>
      </w:r>
      <w:r w:rsidR="003F7D17">
        <w:rPr>
          <w:b/>
          <w:u w:val="single"/>
          <w:lang w:val="hr-HR"/>
        </w:rPr>
        <w:t>e</w:t>
      </w:r>
      <w:r w:rsidR="00C10024">
        <w:rPr>
          <w:b/>
          <w:u w:val="single"/>
          <w:lang w:val="hr-HR"/>
        </w:rPr>
        <w:t xml:space="preserve"> energij</w:t>
      </w:r>
      <w:r w:rsidR="003F7D17">
        <w:rPr>
          <w:b/>
          <w:u w:val="single"/>
          <w:lang w:val="hr-HR"/>
        </w:rPr>
        <w:t>e</w:t>
      </w:r>
      <w:r w:rsidR="00DF65E9">
        <w:rPr>
          <w:b/>
          <w:u w:val="single"/>
          <w:lang w:val="hr-HR"/>
        </w:rPr>
        <w:t xml:space="preserve"> iz izvora koji </w:t>
      </w:r>
      <w:r w:rsidR="00C10024">
        <w:rPr>
          <w:b/>
          <w:u w:val="single"/>
          <w:lang w:val="hr-HR"/>
        </w:rPr>
        <w:t>zavis</w:t>
      </w:r>
      <w:r w:rsidR="00DF65E9">
        <w:rPr>
          <w:b/>
          <w:u w:val="single"/>
          <w:lang w:val="hr-HR"/>
        </w:rPr>
        <w:t>e</w:t>
      </w:r>
      <w:r w:rsidR="00C10024">
        <w:rPr>
          <w:b/>
          <w:u w:val="single"/>
          <w:lang w:val="hr-HR"/>
        </w:rPr>
        <w:t xml:space="preserve"> od prirodnih </w:t>
      </w:r>
      <w:r w:rsidR="009D643F">
        <w:rPr>
          <w:b/>
          <w:u w:val="single"/>
          <w:lang w:val="hr-HR"/>
        </w:rPr>
        <w:t>uslova</w:t>
      </w:r>
      <w:r w:rsidR="00C10024">
        <w:rPr>
          <w:b/>
          <w:u w:val="single"/>
          <w:lang w:val="hr-HR"/>
        </w:rPr>
        <w:t xml:space="preserve"> i finansijski instrumenti u kojima se pominje takav vid električne energije</w:t>
      </w:r>
      <w:r w:rsidRPr="00EF5D0A">
        <w:rPr>
          <w:b/>
          <w:u w:val="single"/>
          <w:lang w:val="hr-HR"/>
        </w:rPr>
        <w:t>.</w:t>
      </w:r>
    </w:p>
    <w:p w14:paraId="67866EE2" w14:textId="573A3C19" w:rsidR="00014FB0" w:rsidRPr="00EF5D0A" w:rsidRDefault="001C3CBD">
      <w:pPr>
        <w:pStyle w:val="IASBNormalnpara"/>
        <w:rPr>
          <w:lang w:val="hr-HR"/>
        </w:rPr>
      </w:pPr>
      <w:r w:rsidRPr="00EF5D0A">
        <w:rPr>
          <w:u w:val="single"/>
          <w:lang w:val="hr-HR"/>
        </w:rPr>
        <w:t>2.3</w:t>
      </w:r>
      <w:r w:rsidR="003F7D17">
        <w:rPr>
          <w:u w:val="single"/>
          <w:lang w:val="hr-HR"/>
        </w:rPr>
        <w:t>.</w:t>
      </w:r>
      <w:r w:rsidRPr="00EF5D0A">
        <w:rPr>
          <w:u w:val="single"/>
          <w:lang w:val="hr-HR"/>
        </w:rPr>
        <w:t>B</w:t>
      </w:r>
      <w:r w:rsidRPr="00EF5D0A">
        <w:rPr>
          <w:lang w:val="hr-HR"/>
        </w:rPr>
        <w:tab/>
      </w:r>
      <w:r w:rsidR="00C10024">
        <w:rPr>
          <w:u w:val="single"/>
          <w:lang w:val="hr-HR"/>
        </w:rPr>
        <w:t xml:space="preserve">Subjekt tačke </w:t>
      </w:r>
      <w:r w:rsidRPr="00EF5D0A">
        <w:rPr>
          <w:u w:val="single"/>
          <w:lang w:val="hr-HR"/>
        </w:rPr>
        <w:t>6.10.</w:t>
      </w:r>
      <w:r w:rsidR="00C10024">
        <w:rPr>
          <w:u w:val="single"/>
          <w:lang w:val="hr-HR"/>
        </w:rPr>
        <w:t xml:space="preserve">1, </w:t>
      </w:r>
      <w:r w:rsidRPr="00EF5D0A">
        <w:rPr>
          <w:u w:val="single"/>
          <w:lang w:val="hr-HR"/>
        </w:rPr>
        <w:t>6.10.2</w:t>
      </w:r>
      <w:r w:rsidR="00C10024">
        <w:rPr>
          <w:u w:val="single"/>
          <w:lang w:val="hr-HR"/>
        </w:rPr>
        <w:t>,</w:t>
      </w:r>
      <w:r w:rsidRPr="00EF5D0A">
        <w:rPr>
          <w:u w:val="single"/>
          <w:lang w:val="hr-HR"/>
        </w:rPr>
        <w:t xml:space="preserve"> B2.7</w:t>
      </w:r>
      <w:r w:rsidR="00C10024">
        <w:rPr>
          <w:u w:val="single"/>
          <w:lang w:val="hr-HR"/>
        </w:rPr>
        <w:t xml:space="preserve"> i </w:t>
      </w:r>
      <w:r w:rsidRPr="00EF5D0A">
        <w:rPr>
          <w:u w:val="single"/>
          <w:lang w:val="hr-HR"/>
        </w:rPr>
        <w:t xml:space="preserve">B2.8 </w:t>
      </w:r>
      <w:r w:rsidR="00C10024">
        <w:rPr>
          <w:u w:val="single"/>
          <w:lang w:val="hr-HR"/>
        </w:rPr>
        <w:t xml:space="preserve">ne </w:t>
      </w:r>
      <w:r w:rsidR="003F7D17">
        <w:rPr>
          <w:u w:val="single"/>
          <w:lang w:val="hr-HR"/>
        </w:rPr>
        <w:t>smije</w:t>
      </w:r>
      <w:r w:rsidR="00C10024">
        <w:rPr>
          <w:u w:val="single"/>
          <w:lang w:val="hr-HR"/>
        </w:rPr>
        <w:t xml:space="preserve">, analogijom, primjenjivati na druge ugovore, stavke ili transakcije. </w:t>
      </w:r>
    </w:p>
    <w:p w14:paraId="2B58BECD" w14:textId="4C354B31" w:rsidR="00014FB0" w:rsidRPr="00EF5D0A" w:rsidRDefault="00DF65E9">
      <w:pPr>
        <w:pStyle w:val="IASBSectionTitle2Ind"/>
        <w:rPr>
          <w:lang w:val="hr-HR"/>
        </w:rPr>
      </w:pPr>
      <w:bookmarkStart w:id="4" w:name="unique_21"/>
      <w:r>
        <w:rPr>
          <w:u w:val="single"/>
          <w:lang w:val="hr-HR"/>
        </w:rPr>
        <w:t xml:space="preserve">Ugovori o kupovini ili prodaji </w:t>
      </w:r>
      <w:r w:rsidR="00C10024">
        <w:rPr>
          <w:u w:val="single"/>
          <w:lang w:val="hr-HR"/>
        </w:rPr>
        <w:t>nefinansijsk</w:t>
      </w:r>
      <w:r>
        <w:rPr>
          <w:u w:val="single"/>
          <w:lang w:val="hr-HR"/>
        </w:rPr>
        <w:t>e</w:t>
      </w:r>
      <w:r w:rsidR="00C10024">
        <w:rPr>
          <w:u w:val="single"/>
          <w:lang w:val="hr-HR"/>
        </w:rPr>
        <w:t xml:space="preserve"> stavk</w:t>
      </w:r>
      <w:r>
        <w:rPr>
          <w:u w:val="single"/>
          <w:lang w:val="hr-HR"/>
        </w:rPr>
        <w:t>e</w:t>
      </w:r>
      <w:r w:rsidR="00C10024">
        <w:rPr>
          <w:u w:val="single"/>
          <w:lang w:val="hr-HR"/>
        </w:rPr>
        <w:t xml:space="preserve"> </w:t>
      </w:r>
      <w:bookmarkEnd w:id="4"/>
    </w:p>
    <w:p w14:paraId="069C8B21" w14:textId="0E5295B4" w:rsidR="00014FB0" w:rsidRPr="00EF5D0A" w:rsidRDefault="001C3CBD">
      <w:pPr>
        <w:pStyle w:val="IASBNormalnpara"/>
        <w:rPr>
          <w:color w:val="A6A6A6" w:themeColor="background1" w:themeShade="A6"/>
          <w:lang w:val="hr-HR"/>
        </w:rPr>
      </w:pPr>
      <w:r w:rsidRPr="00EF5D0A">
        <w:rPr>
          <w:b/>
          <w:color w:val="A6A6A6" w:themeColor="background1" w:themeShade="A6"/>
          <w:lang w:val="hr-HR"/>
        </w:rPr>
        <w:t>2.4</w:t>
      </w:r>
      <w:r w:rsidRPr="00EF5D0A">
        <w:rPr>
          <w:color w:val="A6A6A6" w:themeColor="background1" w:themeShade="A6"/>
          <w:lang w:val="hr-HR"/>
        </w:rPr>
        <w:tab/>
      </w:r>
      <w:r w:rsidR="00C10024">
        <w:rPr>
          <w:b/>
          <w:color w:val="A6A6A6" w:themeColor="background1" w:themeShade="A6"/>
          <w:lang w:val="hr-HR"/>
        </w:rPr>
        <w:t>Ovaj Standard treba se primjenjivati na one ugovore o kupovini ili prodaji nefinansijske stavke koj</w:t>
      </w:r>
      <w:r w:rsidR="00DF65E9">
        <w:rPr>
          <w:b/>
          <w:color w:val="A6A6A6" w:themeColor="background1" w:themeShade="A6"/>
          <w:lang w:val="hr-HR"/>
        </w:rPr>
        <w:t>i</w:t>
      </w:r>
      <w:r w:rsidR="00C10024">
        <w:rPr>
          <w:b/>
          <w:color w:val="A6A6A6" w:themeColor="background1" w:themeShade="A6"/>
          <w:lang w:val="hr-HR"/>
        </w:rPr>
        <w:t xml:space="preserve"> se mo</w:t>
      </w:r>
      <w:r w:rsidR="00DF65E9">
        <w:rPr>
          <w:b/>
          <w:color w:val="A6A6A6" w:themeColor="background1" w:themeShade="A6"/>
          <w:lang w:val="hr-HR"/>
        </w:rPr>
        <w:t>gu</w:t>
      </w:r>
      <w:r w:rsidR="00C10024">
        <w:rPr>
          <w:b/>
          <w:color w:val="A6A6A6" w:themeColor="background1" w:themeShade="A6"/>
          <w:lang w:val="hr-HR"/>
        </w:rPr>
        <w:t xml:space="preserve"> podmiriti neto u gotovini ili drugim finansijskim instrumentom ili zamjenom finansijskih instrumenata, kao da su ugovori bili finansijski instrumenti, sa iznimkom ugovora koji su sklopljeni sa ciljem i koji će se nastaviti držati za po</w:t>
      </w:r>
      <w:r w:rsidR="00DF65E9">
        <w:rPr>
          <w:b/>
          <w:color w:val="A6A6A6" w:themeColor="background1" w:themeShade="A6"/>
          <w:lang w:val="hr-HR"/>
        </w:rPr>
        <w:t>t</w:t>
      </w:r>
      <w:r w:rsidR="00C10024">
        <w:rPr>
          <w:b/>
          <w:color w:val="A6A6A6" w:themeColor="background1" w:themeShade="A6"/>
          <w:lang w:val="hr-HR"/>
        </w:rPr>
        <w:t>rebe primanja ili isporuke nefinansijske stavk</w:t>
      </w:r>
      <w:r w:rsidR="00201AA9">
        <w:rPr>
          <w:b/>
          <w:color w:val="A6A6A6" w:themeColor="background1" w:themeShade="A6"/>
          <w:lang w:val="hr-HR"/>
        </w:rPr>
        <w:t>e</w:t>
      </w:r>
      <w:r w:rsidR="00C10024">
        <w:rPr>
          <w:b/>
          <w:color w:val="A6A6A6" w:themeColor="background1" w:themeShade="A6"/>
          <w:lang w:val="hr-HR"/>
        </w:rPr>
        <w:t xml:space="preserve"> u skladu sa očekivanom kupnjom, prodajom ili zahtjevima za korištenjem subjekta. Međutim, ovaj Standard treba se primjenjivati na one ugovore koje subjekt odredi kao mjerene po fer vrijednosti kroz bilans uspjeha u skladu sa tačkom 2.5. </w:t>
      </w:r>
    </w:p>
    <w:p w14:paraId="3E921D7F" w14:textId="68731E7A" w:rsidR="00014FB0" w:rsidRPr="00EF5D0A" w:rsidRDefault="001C3CBD">
      <w:pPr>
        <w:pStyle w:val="IASBNormalnpara"/>
        <w:rPr>
          <w:color w:val="A6A6A6" w:themeColor="background1" w:themeShade="A6"/>
          <w:lang w:val="hr-HR"/>
        </w:rPr>
      </w:pPr>
      <w:r w:rsidRPr="00EF5D0A">
        <w:rPr>
          <w:b/>
          <w:color w:val="A6A6A6" w:themeColor="background1" w:themeShade="A6"/>
          <w:lang w:val="hr-HR"/>
        </w:rPr>
        <w:t>2.5</w:t>
      </w:r>
      <w:r w:rsidRPr="00EF5D0A">
        <w:rPr>
          <w:color w:val="A6A6A6" w:themeColor="background1" w:themeShade="A6"/>
          <w:lang w:val="hr-HR"/>
        </w:rPr>
        <w:tab/>
      </w:r>
      <w:r w:rsidR="00C10024">
        <w:rPr>
          <w:b/>
          <w:color w:val="A6A6A6" w:themeColor="background1" w:themeShade="A6"/>
          <w:lang w:val="hr-HR"/>
        </w:rPr>
        <w:t>Ugovor o kupovini ili prodaji nefinansijske stavke koj</w:t>
      </w:r>
      <w:r w:rsidR="00DF65E9">
        <w:rPr>
          <w:b/>
          <w:color w:val="A6A6A6" w:themeColor="background1" w:themeShade="A6"/>
          <w:lang w:val="hr-HR"/>
        </w:rPr>
        <w:t>i</w:t>
      </w:r>
      <w:r w:rsidR="00C10024">
        <w:rPr>
          <w:b/>
          <w:color w:val="A6A6A6" w:themeColor="background1" w:themeShade="A6"/>
          <w:lang w:val="hr-HR"/>
        </w:rPr>
        <w:t xml:space="preserve"> se </w:t>
      </w:r>
      <w:r w:rsidR="00DF65E9">
        <w:rPr>
          <w:b/>
          <w:color w:val="A6A6A6" w:themeColor="background1" w:themeShade="A6"/>
          <w:lang w:val="hr-HR"/>
        </w:rPr>
        <w:t>mogu</w:t>
      </w:r>
      <w:r w:rsidR="00C10024">
        <w:rPr>
          <w:b/>
          <w:color w:val="A6A6A6" w:themeColor="background1" w:themeShade="A6"/>
          <w:lang w:val="hr-HR"/>
        </w:rPr>
        <w:t xml:space="preserve"> podmiriti neto u gotovini ili drugim finansijskim instrumentom ili zamjenom finansijskih instrumenata, kao da je ugovor bio finansijski instrument, može se neopozivo odrediti kao mjeren po fer vrijednosti kroz bilans uspjeha čak i ako je </w:t>
      </w:r>
      <w:r w:rsidR="003F7D17">
        <w:rPr>
          <w:b/>
          <w:color w:val="A6A6A6" w:themeColor="background1" w:themeShade="A6"/>
          <w:lang w:val="hr-HR"/>
        </w:rPr>
        <w:t>sklopljen</w:t>
      </w:r>
      <w:r w:rsidR="00C10024">
        <w:rPr>
          <w:b/>
          <w:color w:val="A6A6A6" w:themeColor="background1" w:themeShade="A6"/>
          <w:lang w:val="hr-HR"/>
        </w:rPr>
        <w:t xml:space="preserve"> za potrebe primanja ili isporuke nefinansijske stavke u skladu sa očekivanom kupnjom, prodajom ili zahtj</w:t>
      </w:r>
      <w:r w:rsidR="004E2759">
        <w:rPr>
          <w:b/>
          <w:color w:val="A6A6A6" w:themeColor="background1" w:themeShade="A6"/>
          <w:lang w:val="hr-HR"/>
        </w:rPr>
        <w:t>e</w:t>
      </w:r>
      <w:r w:rsidR="00C10024">
        <w:rPr>
          <w:b/>
          <w:color w:val="A6A6A6" w:themeColor="background1" w:themeShade="A6"/>
          <w:lang w:val="hr-HR"/>
        </w:rPr>
        <w:t xml:space="preserve">vima za korištenjem subjekta. </w:t>
      </w:r>
      <w:r w:rsidR="003F7D17">
        <w:rPr>
          <w:b/>
          <w:color w:val="A6A6A6" w:themeColor="background1" w:themeShade="A6"/>
          <w:lang w:val="hr-HR"/>
        </w:rPr>
        <w:t xml:space="preserve">To određivanje je moguće </w:t>
      </w:r>
      <w:r w:rsidR="00C10024">
        <w:rPr>
          <w:b/>
          <w:color w:val="A6A6A6" w:themeColor="background1" w:themeShade="A6"/>
          <w:lang w:val="hr-HR"/>
        </w:rPr>
        <w:t xml:space="preserve">samo na početku ugovora i samo ako uklanja ili značajno smanjuje nedosljednosti priznavanja (koje se ponekad </w:t>
      </w:r>
      <w:r w:rsidR="003F7D17">
        <w:rPr>
          <w:b/>
          <w:color w:val="A6A6A6" w:themeColor="background1" w:themeShade="A6"/>
          <w:lang w:val="hr-HR"/>
        </w:rPr>
        <w:t>naziva i</w:t>
      </w:r>
      <w:r w:rsidR="00C10024">
        <w:rPr>
          <w:b/>
          <w:color w:val="A6A6A6" w:themeColor="background1" w:themeShade="A6"/>
          <w:lang w:val="hr-HR"/>
        </w:rPr>
        <w:t xml:space="preserve"> „računovodstven</w:t>
      </w:r>
      <w:r w:rsidR="003F7D17">
        <w:rPr>
          <w:b/>
          <w:color w:val="A6A6A6" w:themeColor="background1" w:themeShade="A6"/>
          <w:lang w:val="hr-HR"/>
        </w:rPr>
        <w:t>a</w:t>
      </w:r>
      <w:r w:rsidR="00C10024">
        <w:rPr>
          <w:b/>
          <w:color w:val="A6A6A6" w:themeColor="background1" w:themeShade="A6"/>
          <w:lang w:val="hr-HR"/>
        </w:rPr>
        <w:t xml:space="preserve"> neusklađenost“) koja bi inače nastala iz nepriznavanja tog ugovora jer je isključen iz djelokruga ovog Standarda (vidjeti tačku 2.4.)</w:t>
      </w:r>
      <w:r w:rsidR="00D4444C">
        <w:rPr>
          <w:b/>
          <w:color w:val="A6A6A6" w:themeColor="background1" w:themeShade="A6"/>
          <w:lang w:val="hr-HR"/>
        </w:rPr>
        <w:t xml:space="preserve">. </w:t>
      </w:r>
    </w:p>
    <w:p w14:paraId="068266EF" w14:textId="35730BCF" w:rsidR="00014FB0" w:rsidRPr="00EF5D0A" w:rsidRDefault="001C3CBD">
      <w:pPr>
        <w:pStyle w:val="IASBNormalnpara"/>
        <w:rPr>
          <w:lang w:val="hr-HR"/>
        </w:rPr>
      </w:pPr>
      <w:r w:rsidRPr="00EF5D0A">
        <w:rPr>
          <w:lang w:val="hr-HR"/>
        </w:rPr>
        <w:t>2.6</w:t>
      </w:r>
      <w:r w:rsidRPr="00EF5D0A">
        <w:rPr>
          <w:lang w:val="hr-HR"/>
        </w:rPr>
        <w:tab/>
      </w:r>
      <w:r w:rsidR="00D4444C">
        <w:rPr>
          <w:lang w:val="hr-HR"/>
        </w:rPr>
        <w:t>Postoje različiti načini na koje se ugovor o kupovini ili prodaji nefinansijske stavke može podmiriti neto u gotovini ili drugim finansijskim instrum</w:t>
      </w:r>
      <w:r w:rsidR="004E2759">
        <w:rPr>
          <w:lang w:val="hr-HR"/>
        </w:rPr>
        <w:t>e</w:t>
      </w:r>
      <w:r w:rsidR="00D4444C">
        <w:rPr>
          <w:lang w:val="hr-HR"/>
        </w:rPr>
        <w:t xml:space="preserve">ntom ili zamjenom finansijskih instrumenata. To uključuje: </w:t>
      </w:r>
    </w:p>
    <w:p w14:paraId="53B3917A" w14:textId="77777777" w:rsidR="00014FB0" w:rsidRPr="00EF5D0A" w:rsidRDefault="001C3CBD">
      <w:pPr>
        <w:pStyle w:val="IASBNormalnparaP"/>
        <w:rPr>
          <w:lang w:val="hr-HR"/>
        </w:rPr>
      </w:pPr>
      <w:r w:rsidRPr="00EF5D0A">
        <w:rPr>
          <w:lang w:val="hr-HR"/>
        </w:rPr>
        <w:t>...</w:t>
      </w:r>
    </w:p>
    <w:p w14:paraId="2AE0C712" w14:textId="008B5237" w:rsidR="00014FB0" w:rsidRPr="00EF5D0A" w:rsidRDefault="001E015A">
      <w:pPr>
        <w:pStyle w:val="IASBNormalnparaP"/>
        <w:rPr>
          <w:lang w:val="hr-HR"/>
        </w:rPr>
      </w:pPr>
      <w:r>
        <w:rPr>
          <w:lang w:val="hr-HR"/>
        </w:rPr>
        <w:t>Ugovor na koj</w:t>
      </w:r>
      <w:r w:rsidR="004E2759">
        <w:rPr>
          <w:lang w:val="hr-HR"/>
        </w:rPr>
        <w:t xml:space="preserve">i </w:t>
      </w:r>
      <w:r>
        <w:rPr>
          <w:lang w:val="hr-HR"/>
        </w:rPr>
        <w:t>se ne primjen</w:t>
      </w:r>
      <w:r w:rsidR="00201AA9">
        <w:rPr>
          <w:lang w:val="hr-HR"/>
        </w:rPr>
        <w:t>j</w:t>
      </w:r>
      <w:r>
        <w:rPr>
          <w:lang w:val="hr-HR"/>
        </w:rPr>
        <w:t xml:space="preserve">uje (b) ili (c) </w:t>
      </w:r>
      <w:r w:rsidR="00981AE2">
        <w:rPr>
          <w:lang w:val="hr-HR"/>
        </w:rPr>
        <w:t>se ne sklapa</w:t>
      </w:r>
      <w:r>
        <w:rPr>
          <w:lang w:val="hr-HR"/>
        </w:rPr>
        <w:t xml:space="preserve"> za potrebe primanja ili isporuke nefin</w:t>
      </w:r>
      <w:r w:rsidR="004E2759">
        <w:rPr>
          <w:lang w:val="hr-HR"/>
        </w:rPr>
        <w:t>a</w:t>
      </w:r>
      <w:r>
        <w:rPr>
          <w:lang w:val="hr-HR"/>
        </w:rPr>
        <w:t>nsijske stavke u skladu s očekivanom kupnjom, prodajom ili zahtjevima za korištenje subjekta i, sukladno tome</w:t>
      </w:r>
      <w:r w:rsidR="00981AE2">
        <w:rPr>
          <w:lang w:val="hr-HR"/>
        </w:rPr>
        <w:t>,</w:t>
      </w:r>
      <w:r>
        <w:rPr>
          <w:lang w:val="hr-HR"/>
        </w:rPr>
        <w:t xml:space="preserve"> je </w:t>
      </w:r>
      <w:r w:rsidR="004E2759">
        <w:rPr>
          <w:lang w:val="hr-HR"/>
        </w:rPr>
        <w:t>u</w:t>
      </w:r>
      <w:r>
        <w:rPr>
          <w:lang w:val="hr-HR"/>
        </w:rPr>
        <w:t xml:space="preserve"> djelokrug</w:t>
      </w:r>
      <w:r w:rsidR="004E2759">
        <w:rPr>
          <w:lang w:val="hr-HR"/>
        </w:rPr>
        <w:t>u</w:t>
      </w:r>
      <w:r>
        <w:rPr>
          <w:lang w:val="hr-HR"/>
        </w:rPr>
        <w:t xml:space="preserve"> ovog Standarda. Drugi ugovori </w:t>
      </w:r>
      <w:r w:rsidR="00201AA9" w:rsidRPr="00201AA9">
        <w:rPr>
          <w:u w:val="single"/>
          <w:lang w:val="hr-HR"/>
        </w:rPr>
        <w:t>(uključujući ugovore koji su opisani u tački 2.3</w:t>
      </w:r>
      <w:r w:rsidR="00981AE2">
        <w:rPr>
          <w:u w:val="single"/>
          <w:lang w:val="hr-HR"/>
        </w:rPr>
        <w:t>.</w:t>
      </w:r>
      <w:r w:rsidR="00201AA9" w:rsidRPr="00201AA9">
        <w:rPr>
          <w:u w:val="single"/>
          <w:lang w:val="hr-HR"/>
        </w:rPr>
        <w:t xml:space="preserve">A) </w:t>
      </w:r>
      <w:r>
        <w:rPr>
          <w:lang w:val="hr-HR"/>
        </w:rPr>
        <w:t>na koje se primjenjuje t</w:t>
      </w:r>
      <w:r w:rsidR="00201AA9">
        <w:rPr>
          <w:lang w:val="hr-HR"/>
        </w:rPr>
        <w:t>a</w:t>
      </w:r>
      <w:r>
        <w:rPr>
          <w:lang w:val="hr-HR"/>
        </w:rPr>
        <w:t>čka 2.4 se procje</w:t>
      </w:r>
      <w:r w:rsidR="004E2759">
        <w:rPr>
          <w:lang w:val="hr-HR"/>
        </w:rPr>
        <w:t>n</w:t>
      </w:r>
      <w:r>
        <w:rPr>
          <w:lang w:val="hr-HR"/>
        </w:rPr>
        <w:t>juju da bi se odredilo jesu li s</w:t>
      </w:r>
      <w:r w:rsidR="00981AE2">
        <w:rPr>
          <w:lang w:val="hr-HR"/>
        </w:rPr>
        <w:t>klopljeni</w:t>
      </w:r>
      <w:r>
        <w:rPr>
          <w:lang w:val="hr-HR"/>
        </w:rPr>
        <w:t xml:space="preserve"> i drž</w:t>
      </w:r>
      <w:r w:rsidR="004E2759">
        <w:rPr>
          <w:lang w:val="hr-HR"/>
        </w:rPr>
        <w:t>e</w:t>
      </w:r>
      <w:r>
        <w:rPr>
          <w:lang w:val="hr-HR"/>
        </w:rPr>
        <w:t xml:space="preserve"> li se za potrebe primanja ili isporuke nefinansijske stavke u skl</w:t>
      </w:r>
      <w:r w:rsidR="004E2759">
        <w:rPr>
          <w:lang w:val="hr-HR"/>
        </w:rPr>
        <w:t>a</w:t>
      </w:r>
      <w:r>
        <w:rPr>
          <w:lang w:val="hr-HR"/>
        </w:rPr>
        <w:t xml:space="preserve">du sa očekivanom kupnjom, prodajom ili zahtjevima za korištenjem subjekta i jesu li unutar djelokruga ovog Standarda. </w:t>
      </w:r>
    </w:p>
    <w:p w14:paraId="0C41B789" w14:textId="77777777" w:rsidR="00014FB0" w:rsidRPr="00EF5D0A" w:rsidRDefault="001C3CBD">
      <w:pPr>
        <w:pStyle w:val="IASBNormalnpara"/>
        <w:rPr>
          <w:lang w:val="hr-HR"/>
        </w:rPr>
      </w:pPr>
      <w:r w:rsidRPr="00EF5D0A">
        <w:rPr>
          <w:lang w:val="hr-HR"/>
        </w:rPr>
        <w:tab/>
        <w:t>...</w:t>
      </w:r>
    </w:p>
    <w:p w14:paraId="502ACCDF" w14:textId="6B555CCA" w:rsidR="00014FB0" w:rsidRPr="00EF5D0A" w:rsidRDefault="001C3CBD">
      <w:pPr>
        <w:pStyle w:val="IASBNormalnpara"/>
        <w:rPr>
          <w:lang w:val="hr-HR"/>
        </w:rPr>
      </w:pPr>
      <w:r w:rsidRPr="00EF5D0A">
        <w:rPr>
          <w:u w:val="single"/>
          <w:lang w:val="hr-HR"/>
        </w:rPr>
        <w:t>2.8</w:t>
      </w:r>
      <w:r w:rsidRPr="00EF5D0A">
        <w:rPr>
          <w:lang w:val="hr-HR"/>
        </w:rPr>
        <w:tab/>
      </w:r>
      <w:r w:rsidR="00B43E7F">
        <w:rPr>
          <w:u w:val="single"/>
          <w:lang w:val="hr-HR"/>
        </w:rPr>
        <w:t>Subjekt tačke B2.7 i B2.8 treba primjenjivati i kako bi procijen</w:t>
      </w:r>
      <w:r w:rsidR="00830FDE">
        <w:rPr>
          <w:u w:val="single"/>
          <w:lang w:val="hr-HR"/>
        </w:rPr>
        <w:t>io</w:t>
      </w:r>
      <w:r w:rsidR="00B43E7F">
        <w:rPr>
          <w:u w:val="single"/>
          <w:lang w:val="hr-HR"/>
        </w:rPr>
        <w:t xml:space="preserve"> da li se ugovor</w:t>
      </w:r>
      <w:r w:rsidR="00981AE2">
        <w:rPr>
          <w:u w:val="single"/>
          <w:lang w:val="hr-HR"/>
        </w:rPr>
        <w:t>i</w:t>
      </w:r>
      <w:r w:rsidR="00B43E7F">
        <w:rPr>
          <w:u w:val="single"/>
          <w:lang w:val="hr-HR"/>
        </w:rPr>
        <w:t xml:space="preserve"> </w:t>
      </w:r>
      <w:r w:rsidR="00981AE2">
        <w:rPr>
          <w:u w:val="single"/>
          <w:lang w:val="hr-HR"/>
        </w:rPr>
        <w:t>o</w:t>
      </w:r>
      <w:r w:rsidR="00B43E7F">
        <w:rPr>
          <w:u w:val="single"/>
          <w:lang w:val="hr-HR"/>
        </w:rPr>
        <w:t xml:space="preserve"> električn</w:t>
      </w:r>
      <w:r w:rsidR="00981AE2">
        <w:rPr>
          <w:u w:val="single"/>
          <w:lang w:val="hr-HR"/>
        </w:rPr>
        <w:t>oj</w:t>
      </w:r>
      <w:r w:rsidR="00B43E7F">
        <w:rPr>
          <w:u w:val="single"/>
          <w:lang w:val="hr-HR"/>
        </w:rPr>
        <w:t xml:space="preserve"> energij</w:t>
      </w:r>
      <w:r w:rsidR="00981AE2">
        <w:rPr>
          <w:u w:val="single"/>
          <w:lang w:val="hr-HR"/>
        </w:rPr>
        <w:t xml:space="preserve">i iz izvora zavisnih od </w:t>
      </w:r>
      <w:r w:rsidR="00B43E7F">
        <w:rPr>
          <w:u w:val="single"/>
          <w:lang w:val="hr-HR"/>
        </w:rPr>
        <w:t xml:space="preserve">prirodnih </w:t>
      </w:r>
      <w:r w:rsidR="00981AE2">
        <w:rPr>
          <w:u w:val="single"/>
          <w:lang w:val="hr-HR"/>
        </w:rPr>
        <w:t>uslova</w:t>
      </w:r>
      <w:r w:rsidR="00B43E7F">
        <w:rPr>
          <w:u w:val="single"/>
          <w:lang w:val="hr-HR"/>
        </w:rPr>
        <w:t xml:space="preserve"> (kako </w:t>
      </w:r>
      <w:r w:rsidR="00981AE2">
        <w:rPr>
          <w:u w:val="single"/>
          <w:lang w:val="hr-HR"/>
        </w:rPr>
        <w:t>su</w:t>
      </w:r>
      <w:r w:rsidR="00B43E7F">
        <w:rPr>
          <w:u w:val="single"/>
          <w:lang w:val="hr-HR"/>
        </w:rPr>
        <w:t xml:space="preserve"> opisan</w:t>
      </w:r>
      <w:r w:rsidR="00981AE2">
        <w:rPr>
          <w:u w:val="single"/>
          <w:lang w:val="hr-HR"/>
        </w:rPr>
        <w:t>i</w:t>
      </w:r>
      <w:r w:rsidR="00B43E7F">
        <w:rPr>
          <w:u w:val="single"/>
          <w:lang w:val="hr-HR"/>
        </w:rPr>
        <w:t xml:space="preserve"> u tački 2.3</w:t>
      </w:r>
      <w:r w:rsidR="00981AE2">
        <w:rPr>
          <w:u w:val="single"/>
          <w:lang w:val="hr-HR"/>
        </w:rPr>
        <w:t>.</w:t>
      </w:r>
      <w:r w:rsidR="00B43E7F">
        <w:rPr>
          <w:u w:val="single"/>
          <w:lang w:val="hr-HR"/>
        </w:rPr>
        <w:t>A) s</w:t>
      </w:r>
      <w:r w:rsidR="00981AE2">
        <w:rPr>
          <w:u w:val="single"/>
          <w:lang w:val="hr-HR"/>
        </w:rPr>
        <w:t>klapaju</w:t>
      </w:r>
      <w:r w:rsidR="00B43E7F">
        <w:rPr>
          <w:u w:val="single"/>
          <w:lang w:val="hr-HR"/>
        </w:rPr>
        <w:t xml:space="preserve"> i nastavljaju držati za potrebe prijema električne energije u skladu sa </w:t>
      </w:r>
      <w:r w:rsidR="00830FDE">
        <w:rPr>
          <w:u w:val="single"/>
          <w:lang w:val="hr-HR"/>
        </w:rPr>
        <w:t xml:space="preserve">očekivanim potrebama </w:t>
      </w:r>
      <w:r w:rsidR="00B43E7F">
        <w:rPr>
          <w:u w:val="single"/>
          <w:lang w:val="hr-HR"/>
        </w:rPr>
        <w:t>subjekta</w:t>
      </w:r>
      <w:r w:rsidR="00830FDE">
        <w:rPr>
          <w:u w:val="single"/>
          <w:lang w:val="hr-HR"/>
        </w:rPr>
        <w:t xml:space="preserve"> za električnom energijom</w:t>
      </w:r>
      <w:r w:rsidR="00B43E7F">
        <w:rPr>
          <w:u w:val="single"/>
          <w:lang w:val="hr-HR"/>
        </w:rPr>
        <w:t xml:space="preserve">. </w:t>
      </w:r>
    </w:p>
    <w:p w14:paraId="15027981" w14:textId="77777777" w:rsidR="00014FB0" w:rsidRPr="00EF5D0A" w:rsidRDefault="001C3CBD">
      <w:pPr>
        <w:pStyle w:val="IASBNormalnpara"/>
        <w:rPr>
          <w:lang w:val="hr-HR"/>
        </w:rPr>
      </w:pPr>
      <w:r w:rsidRPr="00EF5D0A">
        <w:rPr>
          <w:lang w:val="hr-HR"/>
        </w:rPr>
        <w:tab/>
        <w:t>...</w:t>
      </w:r>
    </w:p>
    <w:p w14:paraId="1AFC1252" w14:textId="52CE597C" w:rsidR="00014FB0" w:rsidRPr="00EF5D0A" w:rsidRDefault="00B43E7F">
      <w:pPr>
        <w:pStyle w:val="IASBSectionTitle2NonInd"/>
        <w:rPr>
          <w:lang w:val="hr-HR"/>
        </w:rPr>
      </w:pPr>
      <w:bookmarkStart w:id="5" w:name="unique_16"/>
      <w:r>
        <w:rPr>
          <w:lang w:val="hr-HR"/>
        </w:rPr>
        <w:lastRenderedPageBreak/>
        <w:t>Poglavlje</w:t>
      </w:r>
      <w:r w:rsidR="001C3CBD" w:rsidRPr="00EF5D0A">
        <w:rPr>
          <w:lang w:val="hr-HR"/>
        </w:rPr>
        <w:t xml:space="preserve"> 6 </w:t>
      </w:r>
      <w:r>
        <w:rPr>
          <w:lang w:val="hr-HR"/>
        </w:rPr>
        <w:t xml:space="preserve">Računovodstvo zaštite od rizika </w:t>
      </w:r>
      <w:bookmarkEnd w:id="5"/>
    </w:p>
    <w:p w14:paraId="5357A011" w14:textId="77777777" w:rsidR="00014FB0" w:rsidRPr="00EF5D0A" w:rsidRDefault="001C3CBD">
      <w:pPr>
        <w:pStyle w:val="IASBNormalnpara"/>
        <w:rPr>
          <w:lang w:val="hr-HR"/>
        </w:rPr>
      </w:pPr>
      <w:r w:rsidRPr="00EF5D0A">
        <w:rPr>
          <w:lang w:val="hr-HR"/>
        </w:rPr>
        <w:tab/>
        <w:t>...</w:t>
      </w:r>
    </w:p>
    <w:p w14:paraId="63A48291" w14:textId="04A29A6D" w:rsidR="00014FB0" w:rsidRPr="00EF5D0A" w:rsidRDefault="001C3CBD">
      <w:pPr>
        <w:pStyle w:val="IASBSectionTitle1NonInd"/>
        <w:rPr>
          <w:lang w:val="hr-HR"/>
        </w:rPr>
      </w:pPr>
      <w:bookmarkStart w:id="6" w:name="unique_48"/>
      <w:r w:rsidRPr="00EF5D0A">
        <w:rPr>
          <w:u w:val="single"/>
          <w:lang w:val="hr-HR"/>
        </w:rPr>
        <w:t xml:space="preserve">6.10 </w:t>
      </w:r>
      <w:r w:rsidR="00B43E7F">
        <w:rPr>
          <w:u w:val="single"/>
          <w:lang w:val="hr-HR"/>
        </w:rPr>
        <w:t xml:space="preserve">Ugovori </w:t>
      </w:r>
      <w:r w:rsidR="00981AE2">
        <w:rPr>
          <w:u w:val="single"/>
          <w:lang w:val="hr-HR"/>
        </w:rPr>
        <w:t>o</w:t>
      </w:r>
      <w:r w:rsidR="004E2759">
        <w:rPr>
          <w:u w:val="single"/>
          <w:lang w:val="hr-HR"/>
        </w:rPr>
        <w:t xml:space="preserve"> električn</w:t>
      </w:r>
      <w:r w:rsidR="00981AE2">
        <w:rPr>
          <w:u w:val="single"/>
          <w:lang w:val="hr-HR"/>
        </w:rPr>
        <w:t>oj</w:t>
      </w:r>
      <w:r w:rsidR="004E2759">
        <w:rPr>
          <w:u w:val="single"/>
          <w:lang w:val="hr-HR"/>
        </w:rPr>
        <w:t xml:space="preserve"> energij</w:t>
      </w:r>
      <w:r w:rsidR="00981AE2">
        <w:rPr>
          <w:u w:val="single"/>
          <w:lang w:val="hr-HR"/>
        </w:rPr>
        <w:t>i</w:t>
      </w:r>
      <w:r w:rsidR="004E2759">
        <w:rPr>
          <w:u w:val="single"/>
          <w:lang w:val="hr-HR"/>
        </w:rPr>
        <w:t xml:space="preserve"> iz izvora zavisnih od </w:t>
      </w:r>
      <w:r w:rsidR="00B43E7F">
        <w:rPr>
          <w:u w:val="single"/>
          <w:lang w:val="hr-HR"/>
        </w:rPr>
        <w:t xml:space="preserve">prirodnih </w:t>
      </w:r>
      <w:r w:rsidR="004E2759">
        <w:rPr>
          <w:u w:val="single"/>
          <w:lang w:val="hr-HR"/>
        </w:rPr>
        <w:t>uslova</w:t>
      </w:r>
      <w:r w:rsidR="00B43E7F">
        <w:rPr>
          <w:u w:val="single"/>
          <w:lang w:val="hr-HR"/>
        </w:rPr>
        <w:t xml:space="preserve"> </w:t>
      </w:r>
      <w:bookmarkEnd w:id="6"/>
    </w:p>
    <w:p w14:paraId="3931DF13" w14:textId="4F80B8C7" w:rsidR="00014FB0" w:rsidRPr="00EF5D0A" w:rsidRDefault="001C3CBD">
      <w:pPr>
        <w:pStyle w:val="IASBNormalnpara"/>
        <w:rPr>
          <w:lang w:val="hr-HR"/>
        </w:rPr>
      </w:pPr>
      <w:r w:rsidRPr="00EF5D0A">
        <w:rPr>
          <w:u w:val="single"/>
          <w:lang w:val="hr-HR"/>
        </w:rPr>
        <w:t>6.10.1</w:t>
      </w:r>
      <w:r w:rsidRPr="00EF5D0A">
        <w:rPr>
          <w:lang w:val="hr-HR"/>
        </w:rPr>
        <w:tab/>
      </w:r>
      <w:r w:rsidR="008D465A">
        <w:rPr>
          <w:u w:val="single"/>
          <w:lang w:val="hr-HR"/>
        </w:rPr>
        <w:t>Pojedini</w:t>
      </w:r>
      <w:r w:rsidR="00B43E7F">
        <w:rPr>
          <w:u w:val="single"/>
          <w:lang w:val="hr-HR"/>
        </w:rPr>
        <w:t xml:space="preserve"> </w:t>
      </w:r>
      <w:r w:rsidR="00DF65E9">
        <w:rPr>
          <w:u w:val="single"/>
          <w:lang w:val="hr-HR"/>
        </w:rPr>
        <w:t xml:space="preserve">ugovori </w:t>
      </w:r>
      <w:r w:rsidR="008D465A">
        <w:rPr>
          <w:u w:val="single"/>
          <w:lang w:val="hr-HR"/>
        </w:rPr>
        <w:t>o</w:t>
      </w:r>
      <w:r w:rsidR="00DF65E9">
        <w:rPr>
          <w:u w:val="single"/>
          <w:lang w:val="hr-HR"/>
        </w:rPr>
        <w:t xml:space="preserve"> električn</w:t>
      </w:r>
      <w:r w:rsidR="008D465A">
        <w:rPr>
          <w:u w:val="single"/>
          <w:lang w:val="hr-HR"/>
        </w:rPr>
        <w:t>oj</w:t>
      </w:r>
      <w:r w:rsidR="00DF65E9">
        <w:rPr>
          <w:u w:val="single"/>
          <w:lang w:val="hr-HR"/>
        </w:rPr>
        <w:t xml:space="preserve"> energij</w:t>
      </w:r>
      <w:r w:rsidR="008D465A">
        <w:rPr>
          <w:u w:val="single"/>
          <w:lang w:val="hr-HR"/>
        </w:rPr>
        <w:t>i</w:t>
      </w:r>
      <w:r w:rsidR="00DF65E9">
        <w:rPr>
          <w:u w:val="single"/>
          <w:lang w:val="hr-HR"/>
        </w:rPr>
        <w:t xml:space="preserve"> iz izvora zavisnih od prirodnih </w:t>
      </w:r>
      <w:r w:rsidR="004E2759">
        <w:rPr>
          <w:u w:val="single"/>
          <w:lang w:val="hr-HR"/>
        </w:rPr>
        <w:t>uslova</w:t>
      </w:r>
      <w:r w:rsidR="00B43E7F">
        <w:rPr>
          <w:u w:val="single"/>
          <w:lang w:val="hr-HR"/>
        </w:rPr>
        <w:t xml:space="preserve"> se određuju kao instrument</w:t>
      </w:r>
      <w:r w:rsidR="008D465A">
        <w:rPr>
          <w:u w:val="single"/>
          <w:lang w:val="hr-HR"/>
        </w:rPr>
        <w:t>i</w:t>
      </w:r>
      <w:r w:rsidR="00B43E7F">
        <w:rPr>
          <w:u w:val="single"/>
          <w:lang w:val="hr-HR"/>
        </w:rPr>
        <w:t xml:space="preserve"> zaštite </w:t>
      </w:r>
      <w:r w:rsidR="004E2759">
        <w:rPr>
          <w:u w:val="single"/>
          <w:lang w:val="hr-HR"/>
        </w:rPr>
        <w:t xml:space="preserve">od rizika </w:t>
      </w:r>
      <w:r w:rsidR="00B43E7F">
        <w:rPr>
          <w:u w:val="single"/>
          <w:lang w:val="hr-HR"/>
        </w:rPr>
        <w:t>u zaštit</w:t>
      </w:r>
      <w:r w:rsidR="008D465A">
        <w:rPr>
          <w:u w:val="single"/>
          <w:lang w:val="hr-HR"/>
        </w:rPr>
        <w:t>i</w:t>
      </w:r>
      <w:r w:rsidR="00B43E7F">
        <w:rPr>
          <w:u w:val="single"/>
          <w:lang w:val="hr-HR"/>
        </w:rPr>
        <w:t xml:space="preserve"> predviđenih transakcija električnom energijom. Pored zahtjeva iz tačke 6.3.7, kod takvih odnosa zaštite subjekt smije kao zaštićenu stavku odrediti </w:t>
      </w:r>
      <w:r w:rsidR="008D465A">
        <w:rPr>
          <w:u w:val="single"/>
          <w:lang w:val="hr-HR"/>
        </w:rPr>
        <w:t xml:space="preserve">i </w:t>
      </w:r>
      <w:r w:rsidR="00B43E7F">
        <w:rPr>
          <w:u w:val="single"/>
          <w:lang w:val="hr-HR"/>
        </w:rPr>
        <w:t>promjenjiv</w:t>
      </w:r>
      <w:r w:rsidR="008D465A">
        <w:rPr>
          <w:u w:val="single"/>
          <w:lang w:val="hr-HR"/>
        </w:rPr>
        <w:t>u</w:t>
      </w:r>
      <w:r w:rsidR="00B43E7F">
        <w:rPr>
          <w:u w:val="single"/>
          <w:lang w:val="hr-HR"/>
        </w:rPr>
        <w:t xml:space="preserve"> nominaln</w:t>
      </w:r>
      <w:r w:rsidR="008D465A">
        <w:rPr>
          <w:u w:val="single"/>
          <w:lang w:val="hr-HR"/>
        </w:rPr>
        <w:t>u</w:t>
      </w:r>
      <w:r w:rsidR="00B43E7F">
        <w:rPr>
          <w:u w:val="single"/>
          <w:lang w:val="hr-HR"/>
        </w:rPr>
        <w:t xml:space="preserve"> </w:t>
      </w:r>
      <w:r w:rsidR="008D465A">
        <w:rPr>
          <w:u w:val="single"/>
          <w:lang w:val="hr-HR"/>
        </w:rPr>
        <w:t>vrijednost</w:t>
      </w:r>
      <w:r w:rsidR="00B43E7F">
        <w:rPr>
          <w:u w:val="single"/>
          <w:lang w:val="hr-HR"/>
        </w:rPr>
        <w:t xml:space="preserve"> predviđenih transakcija električnom energijom koj</w:t>
      </w:r>
      <w:r w:rsidR="008D465A">
        <w:rPr>
          <w:u w:val="single"/>
          <w:lang w:val="hr-HR"/>
        </w:rPr>
        <w:t>a</w:t>
      </w:r>
      <w:r w:rsidR="00B43E7F">
        <w:rPr>
          <w:u w:val="single"/>
          <w:lang w:val="hr-HR"/>
        </w:rPr>
        <w:t xml:space="preserve"> je u skladu sa promjenjivom </w:t>
      </w:r>
      <w:r w:rsidR="008D465A">
        <w:rPr>
          <w:u w:val="single"/>
          <w:lang w:val="hr-HR"/>
        </w:rPr>
        <w:t xml:space="preserve">vrijednošću </w:t>
      </w:r>
      <w:r w:rsidR="00B43E7F">
        <w:rPr>
          <w:u w:val="single"/>
          <w:lang w:val="hr-HR"/>
        </w:rPr>
        <w:t xml:space="preserve">električne energije </w:t>
      </w:r>
      <w:r w:rsidR="004E2759">
        <w:rPr>
          <w:u w:val="single"/>
          <w:lang w:val="hr-HR"/>
        </w:rPr>
        <w:t xml:space="preserve">iz izvora </w:t>
      </w:r>
      <w:r w:rsidR="00B43E7F">
        <w:rPr>
          <w:u w:val="single"/>
          <w:lang w:val="hr-HR"/>
        </w:rPr>
        <w:t>koj</w:t>
      </w:r>
      <w:r w:rsidR="004E2759">
        <w:rPr>
          <w:u w:val="single"/>
          <w:lang w:val="hr-HR"/>
        </w:rPr>
        <w:t>i</w:t>
      </w:r>
      <w:r w:rsidR="00B43E7F">
        <w:rPr>
          <w:u w:val="single"/>
          <w:lang w:val="hr-HR"/>
        </w:rPr>
        <w:t xml:space="preserve"> zavis</w:t>
      </w:r>
      <w:r w:rsidR="004E2759">
        <w:rPr>
          <w:u w:val="single"/>
          <w:lang w:val="hr-HR"/>
        </w:rPr>
        <w:t>e</w:t>
      </w:r>
      <w:r w:rsidR="00B43E7F">
        <w:rPr>
          <w:u w:val="single"/>
          <w:lang w:val="hr-HR"/>
        </w:rPr>
        <w:t xml:space="preserve"> od prirodnih </w:t>
      </w:r>
      <w:r w:rsidR="004E2759">
        <w:rPr>
          <w:u w:val="single"/>
          <w:lang w:val="hr-HR"/>
        </w:rPr>
        <w:t xml:space="preserve">uslova </w:t>
      </w:r>
      <w:r w:rsidR="00C1244C">
        <w:rPr>
          <w:u w:val="single"/>
          <w:lang w:val="hr-HR"/>
        </w:rPr>
        <w:t>koju se očekuje da elektrana isporuči kako je uređeno instrumentom zaštite. Na tak</w:t>
      </w:r>
      <w:r w:rsidR="00353A1A">
        <w:rPr>
          <w:u w:val="single"/>
          <w:lang w:val="hr-HR"/>
        </w:rPr>
        <w:t>ve</w:t>
      </w:r>
      <w:r w:rsidR="00C1244C">
        <w:rPr>
          <w:u w:val="single"/>
          <w:lang w:val="hr-HR"/>
        </w:rPr>
        <w:t xml:space="preserve"> odnos</w:t>
      </w:r>
      <w:r w:rsidR="00353A1A">
        <w:rPr>
          <w:u w:val="single"/>
          <w:lang w:val="hr-HR"/>
        </w:rPr>
        <w:t>e</w:t>
      </w:r>
      <w:r w:rsidR="00C1244C">
        <w:rPr>
          <w:u w:val="single"/>
          <w:lang w:val="hr-HR"/>
        </w:rPr>
        <w:t xml:space="preserve"> zaštite se i dalje primjenjuju ostali zahtjevi računovodstva zaštite iz ovog poglavlja.</w:t>
      </w:r>
      <w:r w:rsidRPr="00EF5D0A">
        <w:rPr>
          <w:u w:val="single"/>
          <w:lang w:val="hr-HR"/>
        </w:rPr>
        <w:t xml:space="preserve"> </w:t>
      </w:r>
    </w:p>
    <w:p w14:paraId="4947B30B" w14:textId="175E4405" w:rsidR="00014FB0" w:rsidRPr="00EF5D0A" w:rsidRDefault="001C3CBD">
      <w:pPr>
        <w:pStyle w:val="IASBNormalnpara"/>
        <w:rPr>
          <w:lang w:val="hr-HR"/>
        </w:rPr>
      </w:pPr>
      <w:r w:rsidRPr="00EF5D0A">
        <w:rPr>
          <w:u w:val="single"/>
          <w:lang w:val="hr-HR"/>
        </w:rPr>
        <w:t>6.10.2</w:t>
      </w:r>
      <w:r w:rsidRPr="00EF5D0A">
        <w:rPr>
          <w:lang w:val="hr-HR"/>
        </w:rPr>
        <w:tab/>
      </w:r>
      <w:r w:rsidR="00F73780">
        <w:rPr>
          <w:u w:val="single"/>
          <w:lang w:val="hr-HR"/>
        </w:rPr>
        <w:t xml:space="preserve">Kada novčani tokovi ugovora </w:t>
      </w:r>
      <w:r w:rsidR="00353A1A">
        <w:rPr>
          <w:u w:val="single"/>
          <w:lang w:val="hr-HR"/>
        </w:rPr>
        <w:t>o</w:t>
      </w:r>
      <w:r w:rsidR="00F73780">
        <w:rPr>
          <w:u w:val="single"/>
          <w:lang w:val="hr-HR"/>
        </w:rPr>
        <w:t xml:space="preserve"> električn</w:t>
      </w:r>
      <w:r w:rsidR="00353A1A">
        <w:rPr>
          <w:u w:val="single"/>
          <w:lang w:val="hr-HR"/>
        </w:rPr>
        <w:t>oj</w:t>
      </w:r>
      <w:r w:rsidR="00F73780">
        <w:rPr>
          <w:u w:val="single"/>
          <w:lang w:val="hr-HR"/>
        </w:rPr>
        <w:t xml:space="preserve"> energij</w:t>
      </w:r>
      <w:r w:rsidR="00353A1A">
        <w:rPr>
          <w:u w:val="single"/>
          <w:lang w:val="hr-HR"/>
        </w:rPr>
        <w:t>i</w:t>
      </w:r>
      <w:r w:rsidR="004E2759">
        <w:rPr>
          <w:u w:val="single"/>
          <w:lang w:val="hr-HR"/>
        </w:rPr>
        <w:t xml:space="preserve"> iz izvora</w:t>
      </w:r>
      <w:r w:rsidR="00F73780">
        <w:rPr>
          <w:u w:val="single"/>
          <w:lang w:val="hr-HR"/>
        </w:rPr>
        <w:t xml:space="preserve"> zavisn</w:t>
      </w:r>
      <w:r w:rsidR="004E2759">
        <w:rPr>
          <w:u w:val="single"/>
          <w:lang w:val="hr-HR"/>
        </w:rPr>
        <w:t xml:space="preserve">ih </w:t>
      </w:r>
      <w:r w:rsidR="00F73780">
        <w:rPr>
          <w:u w:val="single"/>
          <w:lang w:val="hr-HR"/>
        </w:rPr>
        <w:t xml:space="preserve">od prirodnih </w:t>
      </w:r>
      <w:r w:rsidR="004E2759">
        <w:rPr>
          <w:u w:val="single"/>
          <w:lang w:val="hr-HR"/>
        </w:rPr>
        <w:t>uslova</w:t>
      </w:r>
      <w:r w:rsidR="00F73780">
        <w:rPr>
          <w:u w:val="single"/>
          <w:lang w:val="hr-HR"/>
        </w:rPr>
        <w:t xml:space="preserve"> o</w:t>
      </w:r>
      <w:r w:rsidR="00353A1A">
        <w:rPr>
          <w:u w:val="single"/>
          <w:lang w:val="hr-HR"/>
        </w:rPr>
        <w:t xml:space="preserve">dređeni </w:t>
      </w:r>
      <w:r w:rsidR="00F73780">
        <w:rPr>
          <w:u w:val="single"/>
          <w:lang w:val="hr-HR"/>
        </w:rPr>
        <w:t>kao instrument zaštite zavise od nastanka predviđene transakcije koja je o</w:t>
      </w:r>
      <w:r w:rsidR="004E2759">
        <w:rPr>
          <w:u w:val="single"/>
          <w:lang w:val="hr-HR"/>
        </w:rPr>
        <w:t>dređena</w:t>
      </w:r>
      <w:r w:rsidR="00F73780">
        <w:rPr>
          <w:u w:val="single"/>
          <w:lang w:val="hr-HR"/>
        </w:rPr>
        <w:t xml:space="preserve"> kao zaštićena stavka u skladu sa tačkom 6.10.1, za tu predviđenu transakcija treba pretpostavljati da je vrlo </w:t>
      </w:r>
      <w:r w:rsidR="004E2759">
        <w:rPr>
          <w:u w:val="single"/>
          <w:lang w:val="hr-HR"/>
        </w:rPr>
        <w:t xml:space="preserve">vjerovatna </w:t>
      </w:r>
      <w:r w:rsidR="00353A1A">
        <w:rPr>
          <w:u w:val="single"/>
          <w:lang w:val="hr-HR"/>
        </w:rPr>
        <w:t>u smislu</w:t>
      </w:r>
      <w:r w:rsidR="00F73780">
        <w:rPr>
          <w:u w:val="single"/>
          <w:lang w:val="hr-HR"/>
        </w:rPr>
        <w:t xml:space="preserve"> t</w:t>
      </w:r>
      <w:r w:rsidR="004E2759">
        <w:rPr>
          <w:u w:val="single"/>
          <w:lang w:val="hr-HR"/>
        </w:rPr>
        <w:t>a</w:t>
      </w:r>
      <w:r w:rsidR="00F73780">
        <w:rPr>
          <w:u w:val="single"/>
          <w:lang w:val="hr-HR"/>
        </w:rPr>
        <w:t>čk</w:t>
      </w:r>
      <w:r w:rsidR="00353A1A">
        <w:rPr>
          <w:u w:val="single"/>
          <w:lang w:val="hr-HR"/>
        </w:rPr>
        <w:t>e</w:t>
      </w:r>
      <w:r w:rsidR="00F73780">
        <w:rPr>
          <w:u w:val="single"/>
          <w:lang w:val="hr-HR"/>
        </w:rPr>
        <w:t xml:space="preserve"> 6.3.3.  </w:t>
      </w:r>
    </w:p>
    <w:p w14:paraId="5EAC9059" w14:textId="070EA30D" w:rsidR="00014FB0" w:rsidRPr="00EF5D0A" w:rsidRDefault="00F73780">
      <w:pPr>
        <w:pStyle w:val="IASBSectionTitle2NonInd"/>
        <w:rPr>
          <w:lang w:val="hr-HR"/>
        </w:rPr>
      </w:pPr>
      <w:bookmarkStart w:id="7" w:name="unique_17"/>
      <w:r>
        <w:rPr>
          <w:lang w:val="hr-HR"/>
        </w:rPr>
        <w:t>Poglavlje</w:t>
      </w:r>
      <w:r w:rsidR="001C3CBD" w:rsidRPr="00EF5D0A">
        <w:rPr>
          <w:lang w:val="hr-HR"/>
        </w:rPr>
        <w:t xml:space="preserve"> 7 </w:t>
      </w:r>
      <w:r>
        <w:rPr>
          <w:lang w:val="hr-HR"/>
        </w:rPr>
        <w:t xml:space="preserve">Datum stupanja na snagu i prijelazne odredbe </w:t>
      </w:r>
      <w:bookmarkEnd w:id="7"/>
    </w:p>
    <w:p w14:paraId="1D2AA0FE" w14:textId="3E339E91" w:rsidR="00014FB0" w:rsidRPr="00EF5D0A" w:rsidRDefault="001C3CBD">
      <w:pPr>
        <w:pStyle w:val="IASBSectionTitle1NonInd"/>
        <w:rPr>
          <w:lang w:val="hr-HR"/>
        </w:rPr>
      </w:pPr>
      <w:bookmarkStart w:id="8" w:name="unique_22"/>
      <w:r w:rsidRPr="00EF5D0A">
        <w:rPr>
          <w:lang w:val="hr-HR"/>
        </w:rPr>
        <w:t xml:space="preserve">7.1 </w:t>
      </w:r>
      <w:bookmarkEnd w:id="8"/>
      <w:r w:rsidR="00F73780">
        <w:rPr>
          <w:lang w:val="hr-HR"/>
        </w:rPr>
        <w:t xml:space="preserve">Datum stupanja na snagu </w:t>
      </w:r>
    </w:p>
    <w:p w14:paraId="076EF104" w14:textId="77777777" w:rsidR="00014FB0" w:rsidRPr="00EF5D0A" w:rsidRDefault="001C3CBD">
      <w:pPr>
        <w:pStyle w:val="IASBNormalnpara"/>
        <w:rPr>
          <w:lang w:val="hr-HR"/>
        </w:rPr>
      </w:pPr>
      <w:r w:rsidRPr="00EF5D0A">
        <w:rPr>
          <w:lang w:val="hr-HR"/>
        </w:rPr>
        <w:tab/>
        <w:t>...</w:t>
      </w:r>
    </w:p>
    <w:p w14:paraId="4620D788" w14:textId="6AB85DD7" w:rsidR="00014FB0" w:rsidRPr="00EF5D0A" w:rsidRDefault="001C3CBD">
      <w:pPr>
        <w:pStyle w:val="IASBNormalnpara"/>
        <w:rPr>
          <w:lang w:val="hr-HR"/>
        </w:rPr>
      </w:pPr>
      <w:r w:rsidRPr="00EF5D0A">
        <w:rPr>
          <w:u w:val="single"/>
          <w:lang w:val="hr-HR"/>
        </w:rPr>
        <w:t>7.1.15</w:t>
      </w:r>
      <w:r w:rsidRPr="00EF5D0A">
        <w:rPr>
          <w:lang w:val="hr-HR"/>
        </w:rPr>
        <w:tab/>
      </w:r>
      <w:r w:rsidR="00F73780" w:rsidRPr="001D63A0">
        <w:rPr>
          <w:u w:val="single"/>
          <w:lang w:val="hr-HR"/>
        </w:rPr>
        <w:t xml:space="preserve">Odredbama dokumenta </w:t>
      </w:r>
      <w:r w:rsidR="00DF65E9">
        <w:rPr>
          <w:i/>
          <w:u w:val="single"/>
          <w:lang w:val="hr-HR"/>
        </w:rPr>
        <w:t xml:space="preserve">Ugovori </w:t>
      </w:r>
      <w:r w:rsidR="001D63A0">
        <w:rPr>
          <w:i/>
          <w:u w:val="single"/>
          <w:lang w:val="hr-HR"/>
        </w:rPr>
        <w:t>o</w:t>
      </w:r>
      <w:r w:rsidR="00DF65E9">
        <w:rPr>
          <w:i/>
          <w:u w:val="single"/>
          <w:lang w:val="hr-HR"/>
        </w:rPr>
        <w:t xml:space="preserve"> električn</w:t>
      </w:r>
      <w:r w:rsidR="001D63A0">
        <w:rPr>
          <w:i/>
          <w:u w:val="single"/>
          <w:lang w:val="hr-HR"/>
        </w:rPr>
        <w:t>oj</w:t>
      </w:r>
      <w:r w:rsidR="00DF65E9">
        <w:rPr>
          <w:i/>
          <w:u w:val="single"/>
          <w:lang w:val="hr-HR"/>
        </w:rPr>
        <w:t xml:space="preserve"> energij</w:t>
      </w:r>
      <w:r w:rsidR="001D63A0">
        <w:rPr>
          <w:i/>
          <w:u w:val="single"/>
          <w:lang w:val="hr-HR"/>
        </w:rPr>
        <w:t>i</w:t>
      </w:r>
      <w:r w:rsidR="00DF65E9">
        <w:rPr>
          <w:i/>
          <w:u w:val="single"/>
          <w:lang w:val="hr-HR"/>
        </w:rPr>
        <w:t xml:space="preserve"> iz izvora zavisnih od prirodnih </w:t>
      </w:r>
      <w:r w:rsidR="004E2759">
        <w:rPr>
          <w:i/>
          <w:u w:val="single"/>
          <w:lang w:val="hr-HR"/>
        </w:rPr>
        <w:t>uslova</w:t>
      </w:r>
      <w:r w:rsidRPr="00EF5D0A">
        <w:rPr>
          <w:u w:val="single"/>
          <w:lang w:val="hr-HR"/>
        </w:rPr>
        <w:t xml:space="preserve">, </w:t>
      </w:r>
      <w:r w:rsidR="00F73780">
        <w:rPr>
          <w:u w:val="single"/>
          <w:lang w:val="hr-HR"/>
        </w:rPr>
        <w:t xml:space="preserve">objavljenog u decembru 2024. godine, uvedene su tačke </w:t>
      </w:r>
      <w:r w:rsidRPr="00EF5D0A">
        <w:rPr>
          <w:u w:val="single"/>
          <w:lang w:val="hr-HR"/>
        </w:rPr>
        <w:t>2.3</w:t>
      </w:r>
      <w:r w:rsidR="004E2759">
        <w:rPr>
          <w:u w:val="single"/>
          <w:lang w:val="hr-HR"/>
        </w:rPr>
        <w:t>.</w:t>
      </w:r>
      <w:r w:rsidRPr="00EF5D0A">
        <w:rPr>
          <w:u w:val="single"/>
          <w:lang w:val="hr-HR"/>
        </w:rPr>
        <w:t>A</w:t>
      </w:r>
      <w:r w:rsidR="00F73780">
        <w:rPr>
          <w:u w:val="single"/>
          <w:lang w:val="hr-HR"/>
        </w:rPr>
        <w:t xml:space="preserve">, </w:t>
      </w:r>
      <w:r w:rsidRPr="00EF5D0A">
        <w:rPr>
          <w:u w:val="single"/>
          <w:lang w:val="hr-HR"/>
        </w:rPr>
        <w:t>2.3</w:t>
      </w:r>
      <w:r w:rsidR="004E2759">
        <w:rPr>
          <w:u w:val="single"/>
          <w:lang w:val="hr-HR"/>
        </w:rPr>
        <w:t>.</w:t>
      </w:r>
      <w:r w:rsidRPr="00EF5D0A">
        <w:rPr>
          <w:u w:val="single"/>
          <w:lang w:val="hr-HR"/>
        </w:rPr>
        <w:t>B, 2.8, 6.10.1</w:t>
      </w:r>
      <w:r w:rsidR="00F73780">
        <w:rPr>
          <w:u w:val="single"/>
          <w:lang w:val="hr-HR"/>
        </w:rPr>
        <w:t xml:space="preserve">, </w:t>
      </w:r>
      <w:r w:rsidRPr="00EF5D0A">
        <w:rPr>
          <w:u w:val="single"/>
          <w:lang w:val="hr-HR"/>
        </w:rPr>
        <w:t>6.10.2, 7.2.51</w:t>
      </w:r>
      <w:r w:rsidR="00F73780">
        <w:rPr>
          <w:u w:val="single"/>
          <w:lang w:val="hr-HR"/>
        </w:rPr>
        <w:t xml:space="preserve">, 7.2.52, </w:t>
      </w:r>
      <w:r w:rsidRPr="00EF5D0A">
        <w:rPr>
          <w:u w:val="single"/>
          <w:lang w:val="hr-HR"/>
        </w:rPr>
        <w:t>7.2.53, B2.7</w:t>
      </w:r>
      <w:r w:rsidR="00F73780">
        <w:rPr>
          <w:u w:val="single"/>
          <w:lang w:val="hr-HR"/>
        </w:rPr>
        <w:t xml:space="preserve"> i </w:t>
      </w:r>
      <w:r w:rsidRPr="00EF5D0A">
        <w:rPr>
          <w:u w:val="single"/>
          <w:lang w:val="hr-HR"/>
        </w:rPr>
        <w:t>B2.8</w:t>
      </w:r>
      <w:r w:rsidR="004E2759">
        <w:rPr>
          <w:u w:val="single"/>
          <w:lang w:val="hr-HR"/>
        </w:rPr>
        <w:t>,</w:t>
      </w:r>
      <w:r w:rsidRPr="00EF5D0A">
        <w:rPr>
          <w:u w:val="single"/>
          <w:lang w:val="hr-HR"/>
        </w:rPr>
        <w:t xml:space="preserve"> </w:t>
      </w:r>
      <w:r w:rsidR="00F73780">
        <w:rPr>
          <w:u w:val="single"/>
          <w:lang w:val="hr-HR"/>
        </w:rPr>
        <w:t xml:space="preserve">te izvršene izmjene i dopune tačke </w:t>
      </w:r>
      <w:r w:rsidRPr="00EF5D0A">
        <w:rPr>
          <w:u w:val="single"/>
          <w:lang w:val="hr-HR"/>
        </w:rPr>
        <w:t xml:space="preserve">2.6. </w:t>
      </w:r>
      <w:r w:rsidR="00F73780">
        <w:rPr>
          <w:u w:val="single"/>
          <w:lang w:val="hr-HR"/>
        </w:rPr>
        <w:t>Subjekt je dužan prim</w:t>
      </w:r>
      <w:r w:rsidR="004E2759">
        <w:rPr>
          <w:u w:val="single"/>
          <w:lang w:val="hr-HR"/>
        </w:rPr>
        <w:t>ijeniti</w:t>
      </w:r>
      <w:r w:rsidR="00F73780">
        <w:rPr>
          <w:u w:val="single"/>
          <w:lang w:val="hr-HR"/>
        </w:rPr>
        <w:t xml:space="preserve"> te izmjene i dopune na godišnje izvještajne periode koji počinju </w:t>
      </w:r>
      <w:r w:rsidR="001D63A0">
        <w:rPr>
          <w:u w:val="single"/>
          <w:lang w:val="hr-HR"/>
        </w:rPr>
        <w:t xml:space="preserve">na dan </w:t>
      </w:r>
      <w:r w:rsidR="00F73780">
        <w:rPr>
          <w:u w:val="single"/>
          <w:lang w:val="hr-HR"/>
        </w:rPr>
        <w:t xml:space="preserve">1. januara </w:t>
      </w:r>
      <w:r w:rsidRPr="00EF5D0A">
        <w:rPr>
          <w:u w:val="single"/>
          <w:lang w:val="hr-HR"/>
        </w:rPr>
        <w:t>2026.</w:t>
      </w:r>
      <w:r w:rsidR="00F73780">
        <w:rPr>
          <w:u w:val="single"/>
          <w:lang w:val="hr-HR"/>
        </w:rPr>
        <w:t xml:space="preserve"> godine ili kasnije. Ranija primjena je dozvoljena. Ako odabere primjenjivati izmjene i dopune na raniji period, </w:t>
      </w:r>
      <w:r w:rsidR="001D63A0">
        <w:rPr>
          <w:u w:val="single"/>
          <w:lang w:val="hr-HR"/>
        </w:rPr>
        <w:t xml:space="preserve">subjekt </w:t>
      </w:r>
      <w:r w:rsidR="00F73780">
        <w:rPr>
          <w:u w:val="single"/>
          <w:lang w:val="hr-HR"/>
        </w:rPr>
        <w:t xml:space="preserve">treba objaviti tu činjenicu. </w:t>
      </w:r>
    </w:p>
    <w:p w14:paraId="74F95545" w14:textId="2ECCFE40" w:rsidR="00014FB0" w:rsidRPr="00EF5D0A" w:rsidRDefault="001C3CBD">
      <w:pPr>
        <w:pStyle w:val="IASBSectionTitle1NonInd"/>
        <w:rPr>
          <w:lang w:val="hr-HR"/>
        </w:rPr>
      </w:pPr>
      <w:bookmarkStart w:id="9" w:name="unique_23"/>
      <w:r w:rsidRPr="00EF5D0A">
        <w:rPr>
          <w:lang w:val="hr-HR"/>
        </w:rPr>
        <w:t xml:space="preserve">7.2 </w:t>
      </w:r>
      <w:bookmarkEnd w:id="9"/>
      <w:r w:rsidR="00F73780">
        <w:rPr>
          <w:lang w:val="hr-HR"/>
        </w:rPr>
        <w:t xml:space="preserve">Prijelazne odredbe </w:t>
      </w:r>
    </w:p>
    <w:p w14:paraId="1C49223E" w14:textId="77777777" w:rsidR="00014FB0" w:rsidRPr="00EF5D0A" w:rsidRDefault="001C3CBD">
      <w:pPr>
        <w:pStyle w:val="IASBNormalnpara"/>
        <w:rPr>
          <w:lang w:val="hr-HR"/>
        </w:rPr>
      </w:pPr>
      <w:r w:rsidRPr="00EF5D0A">
        <w:rPr>
          <w:lang w:val="hr-HR"/>
        </w:rPr>
        <w:tab/>
        <w:t>...</w:t>
      </w:r>
    </w:p>
    <w:p w14:paraId="3CB366D6" w14:textId="0488EBFE" w:rsidR="00014FB0" w:rsidRPr="00EF5D0A" w:rsidRDefault="00800391">
      <w:pPr>
        <w:pStyle w:val="IASBSectionTitle2Ind"/>
        <w:rPr>
          <w:lang w:val="hr-HR"/>
        </w:rPr>
      </w:pPr>
      <w:bookmarkStart w:id="10" w:name="unique_52"/>
      <w:r>
        <w:rPr>
          <w:u w:val="single"/>
          <w:lang w:val="hr-HR"/>
        </w:rPr>
        <w:t xml:space="preserve">Prijelazne odredbe za dokument </w:t>
      </w:r>
      <w:r w:rsidR="00DF65E9">
        <w:rPr>
          <w:i/>
          <w:u w:val="single"/>
          <w:lang w:val="hr-HR"/>
        </w:rPr>
        <w:t xml:space="preserve">Ugovori </w:t>
      </w:r>
      <w:r w:rsidR="0046281C">
        <w:rPr>
          <w:i/>
          <w:u w:val="single"/>
          <w:lang w:val="hr-HR"/>
        </w:rPr>
        <w:t>o</w:t>
      </w:r>
      <w:r w:rsidR="00DF65E9">
        <w:rPr>
          <w:i/>
          <w:u w:val="single"/>
          <w:lang w:val="hr-HR"/>
        </w:rPr>
        <w:t xml:space="preserve"> električn</w:t>
      </w:r>
      <w:r w:rsidR="0046281C">
        <w:rPr>
          <w:i/>
          <w:u w:val="single"/>
          <w:lang w:val="hr-HR"/>
        </w:rPr>
        <w:t>oj</w:t>
      </w:r>
      <w:r w:rsidR="00DF65E9">
        <w:rPr>
          <w:i/>
          <w:u w:val="single"/>
          <w:lang w:val="hr-HR"/>
        </w:rPr>
        <w:t xml:space="preserve"> energij</w:t>
      </w:r>
      <w:r w:rsidR="0046281C">
        <w:rPr>
          <w:i/>
          <w:u w:val="single"/>
          <w:lang w:val="hr-HR"/>
        </w:rPr>
        <w:t>i</w:t>
      </w:r>
      <w:r w:rsidR="00DF65E9">
        <w:rPr>
          <w:i/>
          <w:u w:val="single"/>
          <w:lang w:val="hr-HR"/>
        </w:rPr>
        <w:t xml:space="preserve"> iz izvora zavisnih od prirodnih </w:t>
      </w:r>
      <w:r w:rsidR="005519C8">
        <w:rPr>
          <w:i/>
          <w:u w:val="single"/>
          <w:lang w:val="hr-HR"/>
        </w:rPr>
        <w:t>uslova</w:t>
      </w:r>
      <w:r>
        <w:rPr>
          <w:i/>
          <w:u w:val="single"/>
          <w:lang w:val="hr-HR"/>
        </w:rPr>
        <w:t xml:space="preserve"> </w:t>
      </w:r>
      <w:bookmarkEnd w:id="10"/>
    </w:p>
    <w:p w14:paraId="497CF011" w14:textId="1050EC41" w:rsidR="00014FB0" w:rsidRPr="00EF5D0A" w:rsidRDefault="001C3CBD">
      <w:pPr>
        <w:pStyle w:val="IASBNormalnpara"/>
        <w:rPr>
          <w:lang w:val="hr-HR"/>
        </w:rPr>
      </w:pPr>
      <w:r w:rsidRPr="00EF5D0A">
        <w:rPr>
          <w:u w:val="single"/>
          <w:lang w:val="hr-HR"/>
        </w:rPr>
        <w:t>7.2.51</w:t>
      </w:r>
      <w:r w:rsidRPr="00EF5D0A">
        <w:rPr>
          <w:lang w:val="hr-HR"/>
        </w:rPr>
        <w:tab/>
      </w:r>
      <w:r w:rsidR="00800391">
        <w:rPr>
          <w:u w:val="single"/>
          <w:lang w:val="hr-HR"/>
        </w:rPr>
        <w:t xml:space="preserve">Subjekt je dužan primijeniti tačke </w:t>
      </w:r>
      <w:r w:rsidRPr="00EF5D0A">
        <w:rPr>
          <w:u w:val="single"/>
          <w:lang w:val="hr-HR"/>
        </w:rPr>
        <w:t>2.3</w:t>
      </w:r>
      <w:r w:rsidR="005519C8">
        <w:rPr>
          <w:u w:val="single"/>
          <w:lang w:val="hr-HR"/>
        </w:rPr>
        <w:t>.</w:t>
      </w:r>
      <w:r w:rsidRPr="00EF5D0A">
        <w:rPr>
          <w:u w:val="single"/>
          <w:lang w:val="hr-HR"/>
        </w:rPr>
        <w:t>A</w:t>
      </w:r>
      <w:r w:rsidR="00800391">
        <w:rPr>
          <w:u w:val="single"/>
          <w:lang w:val="hr-HR"/>
        </w:rPr>
        <w:t xml:space="preserve">, </w:t>
      </w:r>
      <w:r w:rsidRPr="00EF5D0A">
        <w:rPr>
          <w:u w:val="single"/>
          <w:lang w:val="hr-HR"/>
        </w:rPr>
        <w:t>2.3</w:t>
      </w:r>
      <w:r w:rsidR="005519C8">
        <w:rPr>
          <w:u w:val="single"/>
          <w:lang w:val="hr-HR"/>
        </w:rPr>
        <w:t>.</w:t>
      </w:r>
      <w:r w:rsidRPr="00EF5D0A">
        <w:rPr>
          <w:u w:val="single"/>
          <w:lang w:val="hr-HR"/>
        </w:rPr>
        <w:t>B, 2.8</w:t>
      </w:r>
      <w:r w:rsidR="00800391">
        <w:rPr>
          <w:u w:val="single"/>
          <w:lang w:val="hr-HR"/>
        </w:rPr>
        <w:t xml:space="preserve">, </w:t>
      </w:r>
      <w:r w:rsidRPr="00EF5D0A">
        <w:rPr>
          <w:u w:val="single"/>
          <w:lang w:val="hr-HR"/>
        </w:rPr>
        <w:t>B2.7</w:t>
      </w:r>
      <w:r w:rsidR="00800391">
        <w:rPr>
          <w:u w:val="single"/>
          <w:lang w:val="hr-HR"/>
        </w:rPr>
        <w:t xml:space="preserve"> i </w:t>
      </w:r>
      <w:r w:rsidRPr="00EF5D0A">
        <w:rPr>
          <w:u w:val="single"/>
          <w:lang w:val="hr-HR"/>
        </w:rPr>
        <w:t>B2.8 r</w:t>
      </w:r>
      <w:r w:rsidR="00800391">
        <w:rPr>
          <w:u w:val="single"/>
          <w:lang w:val="hr-HR"/>
        </w:rPr>
        <w:t>etroaktivno u skladu sa MRS-om</w:t>
      </w:r>
      <w:r w:rsidRPr="00EF5D0A">
        <w:rPr>
          <w:u w:val="single"/>
          <w:lang w:val="hr-HR"/>
        </w:rPr>
        <w:t xml:space="preserve"> 8</w:t>
      </w:r>
      <w:r w:rsidR="00800391">
        <w:rPr>
          <w:u w:val="single"/>
          <w:lang w:val="hr-HR"/>
        </w:rPr>
        <w:t xml:space="preserve">, služeći se činjenicama i okolnostima koje </w:t>
      </w:r>
      <w:r w:rsidR="0046281C">
        <w:rPr>
          <w:u w:val="single"/>
          <w:lang w:val="hr-HR"/>
        </w:rPr>
        <w:t>postoje</w:t>
      </w:r>
      <w:r w:rsidR="00800391">
        <w:rPr>
          <w:u w:val="single"/>
          <w:lang w:val="hr-HR"/>
        </w:rPr>
        <w:t xml:space="preserve"> na datum prve primjene </w:t>
      </w:r>
      <w:r w:rsidRPr="00EF5D0A">
        <w:rPr>
          <w:u w:val="single"/>
          <w:lang w:val="hr-HR"/>
        </w:rPr>
        <w:t>(</w:t>
      </w:r>
      <w:r w:rsidR="00800391">
        <w:rPr>
          <w:u w:val="single"/>
          <w:lang w:val="hr-HR"/>
        </w:rPr>
        <w:t>što je datum kada subjekt prvi put primijeni navedene izmjene i dopune</w:t>
      </w:r>
      <w:r w:rsidRPr="00EF5D0A">
        <w:rPr>
          <w:u w:val="single"/>
          <w:lang w:val="hr-HR"/>
        </w:rPr>
        <w:t xml:space="preserve">). </w:t>
      </w:r>
      <w:r w:rsidR="00800391">
        <w:rPr>
          <w:u w:val="single"/>
          <w:lang w:val="hr-HR"/>
        </w:rPr>
        <w:t xml:space="preserve">Kao datum prve primjene se određuje početak izvještajnog perioda a taj period se može razlikovati od godišnjeg izvještajnog perioda. Subjekt ne </w:t>
      </w:r>
      <w:r w:rsidR="0046281C">
        <w:rPr>
          <w:u w:val="single"/>
          <w:lang w:val="hr-HR"/>
        </w:rPr>
        <w:t>treba</w:t>
      </w:r>
      <w:r w:rsidR="00800391">
        <w:rPr>
          <w:u w:val="single"/>
          <w:lang w:val="hr-HR"/>
        </w:rPr>
        <w:t xml:space="preserve"> prepravljati ranije periode kako bi odrazio primjenu ovih izmjena i dopuna. On ranije periode smije prepravljati samo kada je to moguće bez retroaktivnog sagledavanja. Subjekt koji ne prepravi ranije periode dužan je priznati svaku razliku između ranije knjigovodstvene vrijednosti </w:t>
      </w:r>
      <w:r w:rsidR="00153CF3">
        <w:rPr>
          <w:u w:val="single"/>
          <w:lang w:val="hr-HR"/>
        </w:rPr>
        <w:t xml:space="preserve">i knjigovodstvene vrijednosti </w:t>
      </w:r>
      <w:r w:rsidR="00800391">
        <w:rPr>
          <w:u w:val="single"/>
          <w:lang w:val="hr-HR"/>
        </w:rPr>
        <w:t>sa da</w:t>
      </w:r>
      <w:r w:rsidR="001C486D">
        <w:rPr>
          <w:u w:val="single"/>
          <w:lang w:val="hr-HR"/>
        </w:rPr>
        <w:t>tumom</w:t>
      </w:r>
      <w:r w:rsidR="00800391">
        <w:rPr>
          <w:u w:val="single"/>
          <w:lang w:val="hr-HR"/>
        </w:rPr>
        <w:t xml:space="preserve"> prve primjene izmjena i dopuna u početn</w:t>
      </w:r>
      <w:r w:rsidR="00B138D4">
        <w:rPr>
          <w:u w:val="single"/>
          <w:lang w:val="hr-HR"/>
        </w:rPr>
        <w:t>i saldo</w:t>
      </w:r>
      <w:r w:rsidR="00800391">
        <w:rPr>
          <w:u w:val="single"/>
          <w:lang w:val="hr-HR"/>
        </w:rPr>
        <w:t xml:space="preserve"> zadržane zarade </w:t>
      </w:r>
      <w:r w:rsidRPr="00EF5D0A">
        <w:rPr>
          <w:u w:val="single"/>
          <w:lang w:val="hr-HR"/>
        </w:rPr>
        <w:t>(</w:t>
      </w:r>
      <w:r w:rsidR="00800391">
        <w:rPr>
          <w:u w:val="single"/>
          <w:lang w:val="hr-HR"/>
        </w:rPr>
        <w:t xml:space="preserve">ili druge komponente kapitala, kako je primjerno) na početku </w:t>
      </w:r>
      <w:r w:rsidR="00B64F44">
        <w:rPr>
          <w:u w:val="single"/>
          <w:lang w:val="hr-HR"/>
        </w:rPr>
        <w:t>datog</w:t>
      </w:r>
      <w:r w:rsidR="00800391">
        <w:rPr>
          <w:u w:val="single"/>
          <w:lang w:val="hr-HR"/>
        </w:rPr>
        <w:t xml:space="preserve"> izvještajnog perioda. </w:t>
      </w:r>
    </w:p>
    <w:p w14:paraId="59128B39" w14:textId="2E3C5FF0" w:rsidR="00014FB0" w:rsidRPr="00EF5D0A" w:rsidRDefault="001C3CBD">
      <w:pPr>
        <w:pStyle w:val="IASBNormalnpara"/>
        <w:rPr>
          <w:lang w:val="hr-HR"/>
        </w:rPr>
      </w:pPr>
      <w:r w:rsidRPr="00EF5D0A">
        <w:rPr>
          <w:u w:val="single"/>
          <w:lang w:val="hr-HR"/>
        </w:rPr>
        <w:t>7.2.52</w:t>
      </w:r>
      <w:r w:rsidRPr="00EF5D0A">
        <w:rPr>
          <w:lang w:val="hr-HR"/>
        </w:rPr>
        <w:tab/>
      </w:r>
      <w:r w:rsidR="00892CBE">
        <w:rPr>
          <w:u w:val="single"/>
          <w:lang w:val="hr-HR"/>
        </w:rPr>
        <w:t>Ako bi se desilo da</w:t>
      </w:r>
      <w:r w:rsidR="00BC1EF4">
        <w:rPr>
          <w:u w:val="single"/>
          <w:lang w:val="hr-HR"/>
        </w:rPr>
        <w:t xml:space="preserve"> </w:t>
      </w:r>
      <w:r w:rsidR="00BC1EF4" w:rsidRPr="00BC1EF4">
        <w:rPr>
          <w:u w:val="single"/>
          <w:lang w:val="hr-HR"/>
        </w:rPr>
        <w:t xml:space="preserve">ugovor </w:t>
      </w:r>
      <w:r w:rsidR="00B64F44">
        <w:rPr>
          <w:u w:val="single"/>
          <w:lang w:val="hr-HR"/>
        </w:rPr>
        <w:t>o</w:t>
      </w:r>
      <w:r w:rsidR="00BC1EF4" w:rsidRPr="00BC1EF4">
        <w:rPr>
          <w:u w:val="single"/>
          <w:lang w:val="hr-HR"/>
        </w:rPr>
        <w:t xml:space="preserve"> električn</w:t>
      </w:r>
      <w:r w:rsidR="00B64F44">
        <w:rPr>
          <w:u w:val="single"/>
          <w:lang w:val="hr-HR"/>
        </w:rPr>
        <w:t>oj</w:t>
      </w:r>
      <w:r w:rsidR="00BC1EF4" w:rsidRPr="00BC1EF4">
        <w:rPr>
          <w:u w:val="single"/>
          <w:lang w:val="hr-HR"/>
        </w:rPr>
        <w:t xml:space="preserve"> energij</w:t>
      </w:r>
      <w:r w:rsidR="00B64F44">
        <w:rPr>
          <w:u w:val="single"/>
          <w:lang w:val="hr-HR"/>
        </w:rPr>
        <w:t>i</w:t>
      </w:r>
      <w:r w:rsidR="00BC1EF4" w:rsidRPr="00BC1EF4">
        <w:rPr>
          <w:u w:val="single"/>
          <w:lang w:val="hr-HR"/>
        </w:rPr>
        <w:t xml:space="preserve"> </w:t>
      </w:r>
      <w:r w:rsidR="005519C8">
        <w:rPr>
          <w:u w:val="single"/>
          <w:lang w:val="hr-HR"/>
        </w:rPr>
        <w:t>iz izvora zavisnih od prirodnih uslova</w:t>
      </w:r>
      <w:r w:rsidR="00BC1EF4" w:rsidRPr="00BC1EF4">
        <w:rPr>
          <w:u w:val="single"/>
          <w:lang w:val="hr-HR"/>
        </w:rPr>
        <w:t xml:space="preserve"> </w:t>
      </w:r>
      <w:r w:rsidRPr="00BC1EF4">
        <w:rPr>
          <w:u w:val="single"/>
          <w:lang w:val="hr-HR"/>
        </w:rPr>
        <w:t>(</w:t>
      </w:r>
      <w:r w:rsidR="00BC1EF4">
        <w:rPr>
          <w:u w:val="single"/>
          <w:lang w:val="hr-HR"/>
        </w:rPr>
        <w:t xml:space="preserve">kako </w:t>
      </w:r>
      <w:r w:rsidR="00892CBE">
        <w:rPr>
          <w:u w:val="single"/>
          <w:lang w:val="hr-HR"/>
        </w:rPr>
        <w:t>je</w:t>
      </w:r>
      <w:r w:rsidR="00B64F44">
        <w:rPr>
          <w:u w:val="single"/>
          <w:lang w:val="hr-HR"/>
        </w:rPr>
        <w:t xml:space="preserve"> </w:t>
      </w:r>
      <w:r w:rsidR="00BC1EF4">
        <w:rPr>
          <w:u w:val="single"/>
          <w:lang w:val="hr-HR"/>
        </w:rPr>
        <w:t>opisan</w:t>
      </w:r>
      <w:r w:rsidR="00892CBE">
        <w:rPr>
          <w:u w:val="single"/>
          <w:lang w:val="hr-HR"/>
        </w:rPr>
        <w:t xml:space="preserve"> </w:t>
      </w:r>
      <w:r w:rsidR="00BC1EF4">
        <w:rPr>
          <w:u w:val="single"/>
          <w:lang w:val="hr-HR"/>
        </w:rPr>
        <w:t xml:space="preserve">u tački </w:t>
      </w:r>
      <w:r w:rsidRPr="00EF5D0A">
        <w:rPr>
          <w:u w:val="single"/>
          <w:lang w:val="hr-HR"/>
        </w:rPr>
        <w:t>2.3</w:t>
      </w:r>
      <w:r w:rsidR="00B64F44">
        <w:rPr>
          <w:u w:val="single"/>
          <w:lang w:val="hr-HR"/>
        </w:rPr>
        <w:t>.</w:t>
      </w:r>
      <w:r w:rsidRPr="00EF5D0A">
        <w:rPr>
          <w:u w:val="single"/>
          <w:lang w:val="hr-HR"/>
        </w:rPr>
        <w:t xml:space="preserve">A) </w:t>
      </w:r>
      <w:r w:rsidR="00BC1EF4">
        <w:rPr>
          <w:u w:val="single"/>
          <w:lang w:val="hr-HR"/>
        </w:rPr>
        <w:t xml:space="preserve">ne </w:t>
      </w:r>
      <w:r w:rsidR="00892CBE">
        <w:rPr>
          <w:u w:val="single"/>
          <w:lang w:val="hr-HR"/>
        </w:rPr>
        <w:t xml:space="preserve">spada </w:t>
      </w:r>
      <w:r w:rsidR="00BC1EF4">
        <w:rPr>
          <w:u w:val="single"/>
          <w:lang w:val="hr-HR"/>
        </w:rPr>
        <w:t xml:space="preserve">u djelokrug MSFI-ja 9 kao posljedica primjene zahtjeva iz tačaka </w:t>
      </w:r>
      <w:r w:rsidRPr="00EF5D0A">
        <w:rPr>
          <w:u w:val="single"/>
          <w:lang w:val="hr-HR"/>
        </w:rPr>
        <w:t>B2.7</w:t>
      </w:r>
      <w:r w:rsidR="00BC1EF4">
        <w:rPr>
          <w:u w:val="single"/>
          <w:lang w:val="hr-HR"/>
        </w:rPr>
        <w:t xml:space="preserve"> i </w:t>
      </w:r>
      <w:r w:rsidRPr="00EF5D0A">
        <w:rPr>
          <w:u w:val="single"/>
          <w:lang w:val="hr-HR"/>
        </w:rPr>
        <w:t xml:space="preserve">B2.8, </w:t>
      </w:r>
      <w:r w:rsidR="00BC1EF4">
        <w:rPr>
          <w:u w:val="single"/>
          <w:lang w:val="hr-HR"/>
        </w:rPr>
        <w:t xml:space="preserve">subjekt smije, na datum prve primjene, </w:t>
      </w:r>
      <w:r w:rsidR="00830FDE">
        <w:rPr>
          <w:u w:val="single"/>
          <w:lang w:val="hr-HR"/>
        </w:rPr>
        <w:t>neopozivo odrediti takav ugovor kao mjeren po fer vrijednosti kroz bilans uspjeha u skladu sa tačkom</w:t>
      </w:r>
      <w:r w:rsidRPr="00EF5D0A">
        <w:rPr>
          <w:u w:val="single"/>
          <w:lang w:val="hr-HR"/>
        </w:rPr>
        <w:t xml:space="preserve"> 2.5.</w:t>
      </w:r>
    </w:p>
    <w:p w14:paraId="3773FBC0" w14:textId="7CCD3D80" w:rsidR="00014FB0" w:rsidRPr="00EF5D0A" w:rsidRDefault="001C3CBD">
      <w:pPr>
        <w:pStyle w:val="IASBNormalnpara"/>
        <w:rPr>
          <w:lang w:val="hr-HR"/>
        </w:rPr>
      </w:pPr>
      <w:r w:rsidRPr="00EF5D0A">
        <w:rPr>
          <w:u w:val="single"/>
          <w:lang w:val="hr-HR"/>
        </w:rPr>
        <w:t>7.2.53</w:t>
      </w:r>
      <w:r w:rsidRPr="00EF5D0A">
        <w:rPr>
          <w:lang w:val="hr-HR"/>
        </w:rPr>
        <w:tab/>
      </w:r>
      <w:r w:rsidR="0055584B">
        <w:rPr>
          <w:u w:val="single"/>
          <w:lang w:val="hr-HR"/>
        </w:rPr>
        <w:t xml:space="preserve">Subjekt je dužan prospektivno primijeniti tačke </w:t>
      </w:r>
      <w:r w:rsidRPr="00EF5D0A">
        <w:rPr>
          <w:u w:val="single"/>
          <w:lang w:val="hr-HR"/>
        </w:rPr>
        <w:t>6.10.1</w:t>
      </w:r>
      <w:r w:rsidR="0055584B">
        <w:rPr>
          <w:u w:val="single"/>
          <w:lang w:val="hr-HR"/>
        </w:rPr>
        <w:t xml:space="preserve"> i </w:t>
      </w:r>
      <w:r w:rsidRPr="00EF5D0A">
        <w:rPr>
          <w:u w:val="single"/>
          <w:lang w:val="hr-HR"/>
        </w:rPr>
        <w:t xml:space="preserve">6.10.2 </w:t>
      </w:r>
      <w:r w:rsidR="0055584B">
        <w:rPr>
          <w:u w:val="single"/>
          <w:lang w:val="hr-HR"/>
        </w:rPr>
        <w:t>na nove odnose zaštite o</w:t>
      </w:r>
      <w:r w:rsidR="005519C8">
        <w:rPr>
          <w:u w:val="single"/>
          <w:lang w:val="hr-HR"/>
        </w:rPr>
        <w:t>dređene</w:t>
      </w:r>
      <w:r w:rsidR="0055584B">
        <w:rPr>
          <w:u w:val="single"/>
          <w:lang w:val="hr-HR"/>
        </w:rPr>
        <w:t xml:space="preserve"> na datum prve primjene ili kasnije. On smije, na datum prve primjene, </w:t>
      </w:r>
      <w:r w:rsidR="005519C8">
        <w:rPr>
          <w:u w:val="single"/>
          <w:lang w:val="hr-HR"/>
        </w:rPr>
        <w:t>raskinuti</w:t>
      </w:r>
      <w:r w:rsidR="0055584B">
        <w:rPr>
          <w:u w:val="single"/>
          <w:lang w:val="hr-HR"/>
        </w:rPr>
        <w:t xml:space="preserve"> odnos zaštite u sklopu koj</w:t>
      </w:r>
      <w:r w:rsidR="00892CBE">
        <w:rPr>
          <w:u w:val="single"/>
          <w:lang w:val="hr-HR"/>
        </w:rPr>
        <w:t>eg</w:t>
      </w:r>
      <w:r w:rsidR="0055584B">
        <w:rPr>
          <w:u w:val="single"/>
          <w:lang w:val="hr-HR"/>
        </w:rPr>
        <w:t xml:space="preserve"> je </w:t>
      </w:r>
      <w:r w:rsidR="00892CBE">
        <w:rPr>
          <w:u w:val="single"/>
          <w:lang w:val="hr-HR"/>
        </w:rPr>
        <w:t xml:space="preserve">neki </w:t>
      </w:r>
      <w:r w:rsidR="0055584B">
        <w:rPr>
          <w:u w:val="single"/>
          <w:lang w:val="hr-HR"/>
        </w:rPr>
        <w:t xml:space="preserve">ugovor </w:t>
      </w:r>
      <w:r w:rsidR="00892CBE">
        <w:rPr>
          <w:u w:val="single"/>
          <w:lang w:val="hr-HR"/>
        </w:rPr>
        <w:t xml:space="preserve">o </w:t>
      </w:r>
      <w:r w:rsidR="0055584B">
        <w:rPr>
          <w:u w:val="single"/>
          <w:lang w:val="hr-HR"/>
        </w:rPr>
        <w:t>električn</w:t>
      </w:r>
      <w:r w:rsidR="00892CBE">
        <w:rPr>
          <w:u w:val="single"/>
          <w:lang w:val="hr-HR"/>
        </w:rPr>
        <w:t>oj</w:t>
      </w:r>
      <w:r w:rsidR="0055584B">
        <w:rPr>
          <w:u w:val="single"/>
          <w:lang w:val="hr-HR"/>
        </w:rPr>
        <w:t xml:space="preserve"> energij</w:t>
      </w:r>
      <w:r w:rsidR="00892CBE">
        <w:rPr>
          <w:u w:val="single"/>
          <w:lang w:val="hr-HR"/>
        </w:rPr>
        <w:t>i</w:t>
      </w:r>
      <w:r w:rsidR="0055584B">
        <w:rPr>
          <w:u w:val="single"/>
          <w:lang w:val="hr-HR"/>
        </w:rPr>
        <w:t xml:space="preserve"> </w:t>
      </w:r>
      <w:r w:rsidR="005519C8">
        <w:rPr>
          <w:u w:val="single"/>
          <w:lang w:val="hr-HR"/>
        </w:rPr>
        <w:t xml:space="preserve">iz </w:t>
      </w:r>
      <w:r w:rsidR="0055584B">
        <w:rPr>
          <w:u w:val="single"/>
          <w:lang w:val="hr-HR"/>
        </w:rPr>
        <w:t>izvora</w:t>
      </w:r>
      <w:r w:rsidR="005519C8">
        <w:rPr>
          <w:u w:val="single"/>
          <w:lang w:val="hr-HR"/>
        </w:rPr>
        <w:t xml:space="preserve"> zavisnih od prirodnih uslova</w:t>
      </w:r>
      <w:r w:rsidR="0055584B">
        <w:rPr>
          <w:u w:val="single"/>
          <w:lang w:val="hr-HR"/>
        </w:rPr>
        <w:t xml:space="preserve"> (kako je opisan u tački </w:t>
      </w:r>
      <w:r w:rsidRPr="00EF5D0A">
        <w:rPr>
          <w:u w:val="single"/>
          <w:lang w:val="hr-HR"/>
        </w:rPr>
        <w:t>2.3</w:t>
      </w:r>
      <w:r w:rsidR="00892CBE">
        <w:rPr>
          <w:u w:val="single"/>
          <w:lang w:val="hr-HR"/>
        </w:rPr>
        <w:t>.</w:t>
      </w:r>
      <w:r w:rsidRPr="00EF5D0A">
        <w:rPr>
          <w:u w:val="single"/>
          <w:lang w:val="hr-HR"/>
        </w:rPr>
        <w:t xml:space="preserve">A) </w:t>
      </w:r>
      <w:r w:rsidR="0055584B">
        <w:rPr>
          <w:u w:val="single"/>
          <w:lang w:val="hr-HR"/>
        </w:rPr>
        <w:t>o</w:t>
      </w:r>
      <w:r w:rsidR="005519C8">
        <w:rPr>
          <w:u w:val="single"/>
          <w:lang w:val="hr-HR"/>
        </w:rPr>
        <w:t>dređen</w:t>
      </w:r>
      <w:r w:rsidR="0055584B">
        <w:rPr>
          <w:u w:val="single"/>
          <w:lang w:val="hr-HR"/>
        </w:rPr>
        <w:t xml:space="preserve"> kao instrument zaštite, ako se isti instrument zaštite odredi za neki novi odnos zaštite u skladu sa tačkama </w:t>
      </w:r>
      <w:r w:rsidRPr="00EF5D0A">
        <w:rPr>
          <w:u w:val="single"/>
          <w:lang w:val="hr-HR"/>
        </w:rPr>
        <w:t>6.10.1</w:t>
      </w:r>
      <w:r w:rsidR="0055584B">
        <w:rPr>
          <w:u w:val="single"/>
          <w:lang w:val="hr-HR"/>
        </w:rPr>
        <w:t xml:space="preserve"> i </w:t>
      </w:r>
      <w:r w:rsidRPr="00EF5D0A">
        <w:rPr>
          <w:u w:val="single"/>
          <w:lang w:val="hr-HR"/>
        </w:rPr>
        <w:t>6.10.2.</w:t>
      </w:r>
    </w:p>
    <w:p w14:paraId="778DB9C2" w14:textId="77777777" w:rsidR="00014FB0" w:rsidRPr="00EF5D0A" w:rsidRDefault="00014FB0">
      <w:pPr>
        <w:pStyle w:val="SectionEnd"/>
        <w:rPr>
          <w:lang w:val="hr-HR"/>
        </w:rPr>
        <w:sectPr w:rsidR="00014FB0" w:rsidRPr="00EF5D0A">
          <w:headerReference w:type="even" r:id="rId14"/>
          <w:headerReference w:type="default" r:id="rId15"/>
          <w:footerReference w:type="even" r:id="rId16"/>
          <w:footerReference w:type="default" r:id="rId17"/>
          <w:pgSz w:w="11895" w:h="16834"/>
          <w:pgMar w:top="1440" w:right="1440" w:bottom="1440" w:left="1440" w:header="720" w:footer="720" w:gutter="0"/>
          <w:cols w:space="720"/>
        </w:sectPr>
      </w:pPr>
    </w:p>
    <w:p w14:paraId="131C2C7C" w14:textId="6B7ED30F" w:rsidR="00014FB0" w:rsidRPr="00EF5D0A" w:rsidRDefault="0055584B">
      <w:pPr>
        <w:pStyle w:val="IASBSectionTitle2NonInd"/>
        <w:rPr>
          <w:lang w:val="hr-HR"/>
        </w:rPr>
      </w:pPr>
      <w:bookmarkStart w:id="11" w:name="unique_55"/>
      <w:r>
        <w:rPr>
          <w:lang w:val="hr-HR"/>
        </w:rPr>
        <w:lastRenderedPageBreak/>
        <w:t>Dodatak</w:t>
      </w:r>
      <w:r w:rsidR="001C3CBD" w:rsidRPr="00EF5D0A">
        <w:rPr>
          <w:lang w:val="hr-HR"/>
        </w:rPr>
        <w:t xml:space="preserve"> B</w:t>
      </w:r>
      <w:r w:rsidR="001C3CBD" w:rsidRPr="00EF5D0A">
        <w:rPr>
          <w:lang w:val="hr-HR"/>
        </w:rPr>
        <w:br/>
      </w:r>
      <w:r w:rsidR="001C3CBD" w:rsidRPr="00EF5D0A">
        <w:rPr>
          <w:lang w:val="hr-HR"/>
        </w:rPr>
        <w:br/>
      </w:r>
      <w:r w:rsidR="00E871B3">
        <w:rPr>
          <w:lang w:val="hr-HR"/>
        </w:rPr>
        <w:t xml:space="preserve">Smjernice za primjenu </w:t>
      </w:r>
      <w:bookmarkEnd w:id="11"/>
    </w:p>
    <w:p w14:paraId="3AE33ED4" w14:textId="7ACEF169" w:rsidR="00014FB0" w:rsidRPr="00EF5D0A" w:rsidRDefault="00E871B3">
      <w:pPr>
        <w:pStyle w:val="IASBNormal"/>
        <w:rPr>
          <w:lang w:val="hr-HR"/>
        </w:rPr>
      </w:pPr>
      <w:r>
        <w:rPr>
          <w:i/>
          <w:lang w:val="hr-HR"/>
        </w:rPr>
        <w:t xml:space="preserve">Ovaj dodatak je sastavni dio Standarda. </w:t>
      </w:r>
    </w:p>
    <w:p w14:paraId="3AEE242E" w14:textId="3B40CDE1" w:rsidR="00014FB0" w:rsidRPr="00EF5D0A" w:rsidRDefault="00E871B3">
      <w:pPr>
        <w:pStyle w:val="IASBSectionTitle1NonInd"/>
        <w:rPr>
          <w:lang w:val="hr-HR"/>
        </w:rPr>
      </w:pPr>
      <w:bookmarkStart w:id="12" w:name="unique_24"/>
      <w:r>
        <w:rPr>
          <w:lang w:val="hr-HR"/>
        </w:rPr>
        <w:t>Djelokrug</w:t>
      </w:r>
      <w:r w:rsidR="001C3CBD" w:rsidRPr="00EF5D0A">
        <w:rPr>
          <w:lang w:val="hr-HR"/>
        </w:rPr>
        <w:t xml:space="preserve"> (</w:t>
      </w:r>
      <w:r>
        <w:rPr>
          <w:lang w:val="hr-HR"/>
        </w:rPr>
        <w:t>Poglavlje</w:t>
      </w:r>
      <w:r w:rsidR="001C3CBD" w:rsidRPr="00EF5D0A">
        <w:rPr>
          <w:lang w:val="hr-HR"/>
        </w:rPr>
        <w:t xml:space="preserve"> 2)</w:t>
      </w:r>
      <w:bookmarkEnd w:id="12"/>
    </w:p>
    <w:p w14:paraId="5CEED865" w14:textId="77777777" w:rsidR="00014FB0" w:rsidRPr="00EF5D0A" w:rsidRDefault="001C3CBD">
      <w:pPr>
        <w:pStyle w:val="IASBNormalnpara"/>
        <w:rPr>
          <w:lang w:val="hr-HR"/>
        </w:rPr>
      </w:pPr>
      <w:r w:rsidRPr="00EF5D0A">
        <w:rPr>
          <w:lang w:val="hr-HR"/>
        </w:rPr>
        <w:tab/>
        <w:t>...</w:t>
      </w:r>
    </w:p>
    <w:p w14:paraId="51F072CE" w14:textId="539CABFC" w:rsidR="00014FB0" w:rsidRPr="00EF5D0A" w:rsidRDefault="00E871B3">
      <w:pPr>
        <w:pStyle w:val="IASBSectionTitle2Ind"/>
        <w:rPr>
          <w:lang w:val="hr-HR"/>
        </w:rPr>
      </w:pPr>
      <w:bookmarkStart w:id="13" w:name="unique_56"/>
      <w:r>
        <w:rPr>
          <w:u w:val="single"/>
          <w:lang w:val="hr-HR"/>
        </w:rPr>
        <w:t>Ugovori o nabavci električne energije</w:t>
      </w:r>
      <w:r w:rsidR="00892CBE">
        <w:rPr>
          <w:u w:val="single"/>
          <w:lang w:val="hr-HR"/>
        </w:rPr>
        <w:t xml:space="preserve"> iz izvora</w:t>
      </w:r>
      <w:r>
        <w:rPr>
          <w:u w:val="single"/>
          <w:lang w:val="hr-HR"/>
        </w:rPr>
        <w:t xml:space="preserve"> </w:t>
      </w:r>
      <w:r w:rsidR="0008137B">
        <w:rPr>
          <w:u w:val="single"/>
          <w:lang w:val="hr-HR"/>
        </w:rPr>
        <w:t xml:space="preserve">zavisnih </w:t>
      </w:r>
      <w:r>
        <w:rPr>
          <w:u w:val="single"/>
          <w:lang w:val="hr-HR"/>
        </w:rPr>
        <w:t xml:space="preserve">od prirodnih </w:t>
      </w:r>
      <w:bookmarkEnd w:id="13"/>
      <w:r w:rsidR="00892CBE">
        <w:rPr>
          <w:u w:val="single"/>
          <w:lang w:val="hr-HR"/>
        </w:rPr>
        <w:t>uslova</w:t>
      </w:r>
    </w:p>
    <w:p w14:paraId="10713A0E" w14:textId="1F9B8BA8" w:rsidR="00014FB0" w:rsidRPr="00EF5D0A" w:rsidRDefault="001C3CBD">
      <w:pPr>
        <w:pStyle w:val="IASBNormalnpara"/>
        <w:rPr>
          <w:lang w:val="hr-HR"/>
        </w:rPr>
      </w:pPr>
      <w:r w:rsidRPr="00EF5D0A">
        <w:rPr>
          <w:u w:val="single"/>
          <w:lang w:val="hr-HR"/>
        </w:rPr>
        <w:t>B2.7</w:t>
      </w:r>
      <w:r w:rsidRPr="00EF5D0A">
        <w:rPr>
          <w:lang w:val="hr-HR"/>
        </w:rPr>
        <w:tab/>
      </w:r>
      <w:r w:rsidR="00DE63F0">
        <w:rPr>
          <w:u w:val="single"/>
          <w:lang w:val="hr-HR"/>
        </w:rPr>
        <w:t>Pojedini</w:t>
      </w:r>
      <w:r w:rsidR="007E2A04">
        <w:rPr>
          <w:u w:val="single"/>
          <w:lang w:val="hr-HR"/>
        </w:rPr>
        <w:t xml:space="preserve"> </w:t>
      </w:r>
      <w:r w:rsidR="00DF65E9">
        <w:rPr>
          <w:u w:val="single"/>
          <w:lang w:val="hr-HR"/>
        </w:rPr>
        <w:t xml:space="preserve">ugovori </w:t>
      </w:r>
      <w:r w:rsidR="007E2A04">
        <w:rPr>
          <w:u w:val="single"/>
          <w:lang w:val="hr-HR"/>
        </w:rPr>
        <w:t>o</w:t>
      </w:r>
      <w:r w:rsidR="00DF65E9">
        <w:rPr>
          <w:u w:val="single"/>
          <w:lang w:val="hr-HR"/>
        </w:rPr>
        <w:t xml:space="preserve"> električn</w:t>
      </w:r>
      <w:r w:rsidR="007E2A04">
        <w:rPr>
          <w:u w:val="single"/>
          <w:lang w:val="hr-HR"/>
        </w:rPr>
        <w:t>oj</w:t>
      </w:r>
      <w:r w:rsidR="00DF65E9">
        <w:rPr>
          <w:u w:val="single"/>
          <w:lang w:val="hr-HR"/>
        </w:rPr>
        <w:t xml:space="preserve"> energij</w:t>
      </w:r>
      <w:r w:rsidR="007E2A04">
        <w:rPr>
          <w:u w:val="single"/>
          <w:lang w:val="hr-HR"/>
        </w:rPr>
        <w:t xml:space="preserve">i </w:t>
      </w:r>
      <w:r w:rsidR="00DF65E9">
        <w:rPr>
          <w:u w:val="single"/>
          <w:lang w:val="hr-HR"/>
        </w:rPr>
        <w:t>iz izvora zavisnih od prirodnih uslova</w:t>
      </w:r>
      <w:r w:rsidR="00E871B3">
        <w:rPr>
          <w:u w:val="single"/>
          <w:lang w:val="hr-HR"/>
        </w:rPr>
        <w:t xml:space="preserve"> (kako </w:t>
      </w:r>
      <w:r w:rsidR="007E2A04">
        <w:rPr>
          <w:u w:val="single"/>
          <w:lang w:val="hr-HR"/>
        </w:rPr>
        <w:t>su</w:t>
      </w:r>
      <w:r w:rsidR="00E871B3">
        <w:rPr>
          <w:u w:val="single"/>
          <w:lang w:val="hr-HR"/>
        </w:rPr>
        <w:t xml:space="preserve"> opisan</w:t>
      </w:r>
      <w:r w:rsidR="007E2A04">
        <w:rPr>
          <w:u w:val="single"/>
          <w:lang w:val="hr-HR"/>
        </w:rPr>
        <w:t xml:space="preserve">i </w:t>
      </w:r>
      <w:r w:rsidR="00E871B3">
        <w:rPr>
          <w:u w:val="single"/>
          <w:lang w:val="hr-HR"/>
        </w:rPr>
        <w:t xml:space="preserve">u tački </w:t>
      </w:r>
      <w:r w:rsidRPr="00EF5D0A">
        <w:rPr>
          <w:u w:val="single"/>
          <w:lang w:val="hr-HR"/>
        </w:rPr>
        <w:t>2.3</w:t>
      </w:r>
      <w:r w:rsidR="007E2A04">
        <w:rPr>
          <w:u w:val="single"/>
          <w:lang w:val="hr-HR"/>
        </w:rPr>
        <w:t>.</w:t>
      </w:r>
      <w:r w:rsidRPr="00EF5D0A">
        <w:rPr>
          <w:u w:val="single"/>
          <w:lang w:val="hr-HR"/>
        </w:rPr>
        <w:t xml:space="preserve">A) </w:t>
      </w:r>
      <w:r w:rsidR="00E871B3">
        <w:rPr>
          <w:u w:val="single"/>
          <w:lang w:val="hr-HR"/>
        </w:rPr>
        <w:t xml:space="preserve">nalažu da subjekt kupi i prihvati isporuku električne energije onda kada se ista proizvede. Takva obilježja ugovora izlažu subjekt riziku da bi bio dužan kupiti električnu energiju i u </w:t>
      </w:r>
      <w:r w:rsidR="00D457EF">
        <w:rPr>
          <w:u w:val="single"/>
          <w:lang w:val="hr-HR"/>
        </w:rPr>
        <w:t xml:space="preserve">intervalu </w:t>
      </w:r>
      <w:r w:rsidR="00E871B3">
        <w:rPr>
          <w:u w:val="single"/>
          <w:lang w:val="hr-HR"/>
        </w:rPr>
        <w:t>isporuke kada je nije u mogućnosti utrošiti</w:t>
      </w:r>
      <w:r w:rsidRPr="00EF5D0A">
        <w:rPr>
          <w:u w:val="single"/>
          <w:lang w:val="hr-HR"/>
        </w:rPr>
        <w:t xml:space="preserve">. </w:t>
      </w:r>
      <w:r w:rsidR="00E871B3">
        <w:rPr>
          <w:u w:val="single"/>
          <w:lang w:val="hr-HR"/>
        </w:rPr>
        <w:t xml:space="preserve">Pored toga, postoji mogućnost i da subjekt praktično ne može izbjeći prodaju neutrošene električne energije jer je tržište na kojem se </w:t>
      </w:r>
      <w:r w:rsidR="00382A80">
        <w:rPr>
          <w:u w:val="single"/>
          <w:lang w:val="hr-HR"/>
        </w:rPr>
        <w:t xml:space="preserve">vrši </w:t>
      </w:r>
      <w:r w:rsidR="00E871B3">
        <w:rPr>
          <w:u w:val="single"/>
          <w:lang w:val="hr-HR"/>
        </w:rPr>
        <w:t xml:space="preserve">transakcija prema danom ugovoru osmišljeno i funkcionira tako da se sve količine neutrošene električne energije moraju prodati u naznačenim rokovima. Kada subjekt primijeni zahtjeve iz tačke </w:t>
      </w:r>
      <w:r w:rsidRPr="00EF5D0A">
        <w:rPr>
          <w:u w:val="single"/>
          <w:lang w:val="hr-HR"/>
        </w:rPr>
        <w:t xml:space="preserve">2.4, </w:t>
      </w:r>
      <w:r w:rsidR="00E871B3">
        <w:rPr>
          <w:u w:val="single"/>
          <w:lang w:val="hr-HR"/>
        </w:rPr>
        <w:t xml:space="preserve">takva prodaja </w:t>
      </w:r>
      <w:r w:rsidR="0091356E">
        <w:rPr>
          <w:u w:val="single"/>
          <w:lang w:val="hr-HR"/>
        </w:rPr>
        <w:t xml:space="preserve">ne odstupa obavezno od ugovora koji se drži u skladu sa zahtjevima </w:t>
      </w:r>
      <w:r w:rsidR="00382A80">
        <w:rPr>
          <w:u w:val="single"/>
          <w:lang w:val="hr-HR"/>
        </w:rPr>
        <w:t xml:space="preserve">subjekta za potrošnjom. </w:t>
      </w:r>
      <w:r w:rsidR="0091356E">
        <w:rPr>
          <w:u w:val="single"/>
          <w:lang w:val="hr-HR"/>
        </w:rPr>
        <w:t xml:space="preserve">Subjekt je sklopio takav ugovor i nastavlja ga držati u skladu sa </w:t>
      </w:r>
      <w:r w:rsidR="00382A80">
        <w:rPr>
          <w:u w:val="single"/>
          <w:lang w:val="hr-HR"/>
        </w:rPr>
        <w:t xml:space="preserve">svojim očekivanim </w:t>
      </w:r>
      <w:r w:rsidR="0091356E">
        <w:rPr>
          <w:u w:val="single"/>
          <w:lang w:val="hr-HR"/>
        </w:rPr>
        <w:t xml:space="preserve">zahtjevima </w:t>
      </w:r>
      <w:r w:rsidR="00382A80">
        <w:rPr>
          <w:u w:val="single"/>
          <w:lang w:val="hr-HR"/>
        </w:rPr>
        <w:t xml:space="preserve">za potrošnjom električne energije </w:t>
      </w:r>
      <w:r w:rsidR="0091356E">
        <w:rPr>
          <w:u w:val="single"/>
          <w:lang w:val="hr-HR"/>
        </w:rPr>
        <w:t xml:space="preserve">ako je ili se očekuje da bude neto kupac električne energije tokom perioda važenja ugovora. Subjekt </w:t>
      </w:r>
      <w:r w:rsidR="00382A80">
        <w:rPr>
          <w:u w:val="single"/>
          <w:lang w:val="hr-HR"/>
        </w:rPr>
        <w:t>je</w:t>
      </w:r>
      <w:r w:rsidR="0091356E">
        <w:rPr>
          <w:u w:val="single"/>
          <w:lang w:val="hr-HR"/>
        </w:rPr>
        <w:t xml:space="preserve"> neto kupac električne energije ako nabavi dovoljne količine te energije da može </w:t>
      </w:r>
      <w:r w:rsidR="00A67E98">
        <w:rPr>
          <w:u w:val="single"/>
          <w:lang w:val="hr-HR"/>
        </w:rPr>
        <w:t>poravnati</w:t>
      </w:r>
      <w:r w:rsidR="0091356E">
        <w:rPr>
          <w:u w:val="single"/>
          <w:lang w:val="hr-HR"/>
        </w:rPr>
        <w:t xml:space="preserve"> prodaju sve neutrošene električne energije na istom tržištu na kojem je prodao. </w:t>
      </w:r>
    </w:p>
    <w:p w14:paraId="62CCF02B" w14:textId="46A76FAA" w:rsidR="00014FB0" w:rsidRPr="00EF5D0A" w:rsidRDefault="001C3CBD">
      <w:pPr>
        <w:pStyle w:val="IASBNormalnpara"/>
        <w:rPr>
          <w:lang w:val="hr-HR"/>
        </w:rPr>
      </w:pPr>
      <w:r w:rsidRPr="00EF5D0A">
        <w:rPr>
          <w:u w:val="single"/>
          <w:lang w:val="hr-HR"/>
        </w:rPr>
        <w:t>B2.8</w:t>
      </w:r>
      <w:r w:rsidRPr="00EF5D0A">
        <w:rPr>
          <w:lang w:val="hr-HR"/>
        </w:rPr>
        <w:tab/>
      </w:r>
      <w:r w:rsidR="0091356E">
        <w:rPr>
          <w:u w:val="single"/>
          <w:lang w:val="hr-HR"/>
        </w:rPr>
        <w:t>Prilikom utvrđivanja da li je neto kupac električne energije, subjekt u obzir treba uzeti razumne i potkrep</w:t>
      </w:r>
      <w:r w:rsidR="00E30C0E">
        <w:rPr>
          <w:u w:val="single"/>
          <w:lang w:val="hr-HR"/>
        </w:rPr>
        <w:t>lj</w:t>
      </w:r>
      <w:r w:rsidR="0091356E">
        <w:rPr>
          <w:u w:val="single"/>
          <w:lang w:val="hr-HR"/>
        </w:rPr>
        <w:t>ive informacije</w:t>
      </w:r>
      <w:r w:rsidR="00E30C0E">
        <w:rPr>
          <w:u w:val="single"/>
          <w:lang w:val="hr-HR"/>
        </w:rPr>
        <w:t xml:space="preserve"> </w:t>
      </w:r>
      <w:r w:rsidR="0091356E">
        <w:rPr>
          <w:u w:val="single"/>
          <w:lang w:val="hr-HR"/>
        </w:rPr>
        <w:t>(do kojih može doći bez nepotrebnih troškova ili napora) o svojim prošlim, sadašnjim i transakcijama električnom energijom koje se očekuju u razumnom budućem periodu. Subjekt „razumni period“</w:t>
      </w:r>
      <w:r w:rsidR="00E30C0E">
        <w:rPr>
          <w:u w:val="single"/>
          <w:lang w:val="hr-HR"/>
        </w:rPr>
        <w:t xml:space="preserve"> </w:t>
      </w:r>
      <w:r w:rsidR="0091356E">
        <w:rPr>
          <w:u w:val="single"/>
          <w:lang w:val="hr-HR"/>
        </w:rPr>
        <w:t>određuje razmatrajući promjenjivost količina električne energije koje se očekuje da će biti proizvedene</w:t>
      </w:r>
      <w:r w:rsidR="00E30C0E">
        <w:rPr>
          <w:u w:val="single"/>
          <w:lang w:val="hr-HR"/>
        </w:rPr>
        <w:t xml:space="preserve"> u skladu sa smjenom godišnjih doba</w:t>
      </w:r>
      <w:r w:rsidR="00EB0E3B">
        <w:rPr>
          <w:u w:val="single"/>
          <w:lang w:val="hr-HR"/>
        </w:rPr>
        <w:t xml:space="preserve"> i promjenjivost </w:t>
      </w:r>
      <w:r w:rsidR="00E30C0E">
        <w:rPr>
          <w:u w:val="single"/>
          <w:lang w:val="hr-HR"/>
        </w:rPr>
        <w:t xml:space="preserve">vlastitih </w:t>
      </w:r>
      <w:r w:rsidR="00EB0E3B">
        <w:rPr>
          <w:u w:val="single"/>
          <w:lang w:val="hr-HR"/>
        </w:rPr>
        <w:t>potr</w:t>
      </w:r>
      <w:r w:rsidR="00E30C0E">
        <w:rPr>
          <w:u w:val="single"/>
          <w:lang w:val="hr-HR"/>
        </w:rPr>
        <w:t>eba</w:t>
      </w:r>
      <w:r w:rsidR="00EB0E3B">
        <w:rPr>
          <w:u w:val="single"/>
          <w:lang w:val="hr-HR"/>
        </w:rPr>
        <w:t xml:space="preserve"> za električnom energijom u </w:t>
      </w:r>
      <w:r w:rsidR="00E30C0E">
        <w:rPr>
          <w:u w:val="single"/>
          <w:lang w:val="hr-HR"/>
        </w:rPr>
        <w:t xml:space="preserve">zavisnosti od </w:t>
      </w:r>
      <w:r w:rsidR="00EB0E3B">
        <w:rPr>
          <w:u w:val="single"/>
          <w:lang w:val="hr-HR"/>
        </w:rPr>
        <w:t>njegov</w:t>
      </w:r>
      <w:r w:rsidR="00E30C0E">
        <w:rPr>
          <w:u w:val="single"/>
          <w:lang w:val="hr-HR"/>
        </w:rPr>
        <w:t>og</w:t>
      </w:r>
      <w:r w:rsidR="00EB0E3B">
        <w:rPr>
          <w:u w:val="single"/>
          <w:lang w:val="hr-HR"/>
        </w:rPr>
        <w:t xml:space="preserve"> </w:t>
      </w:r>
      <w:r w:rsidR="00E30C0E">
        <w:rPr>
          <w:u w:val="single"/>
          <w:lang w:val="hr-HR"/>
        </w:rPr>
        <w:t>ciklusa rada</w:t>
      </w:r>
      <w:r w:rsidR="00EB0E3B">
        <w:rPr>
          <w:u w:val="single"/>
          <w:lang w:val="hr-HR"/>
        </w:rPr>
        <w:t xml:space="preserve">. </w:t>
      </w:r>
      <w:r w:rsidR="00E30C0E">
        <w:rPr>
          <w:u w:val="single"/>
          <w:lang w:val="hr-HR"/>
        </w:rPr>
        <w:t>Kod</w:t>
      </w:r>
      <w:r w:rsidR="00EB0E3B">
        <w:rPr>
          <w:u w:val="single"/>
          <w:lang w:val="hr-HR"/>
        </w:rPr>
        <w:t xml:space="preserve"> utvrđivanja da li je subjekt </w:t>
      </w:r>
      <w:r w:rsidR="00E30C0E">
        <w:rPr>
          <w:u w:val="single"/>
          <w:lang w:val="hr-HR"/>
        </w:rPr>
        <w:t xml:space="preserve">bio </w:t>
      </w:r>
      <w:r w:rsidR="00EB0E3B">
        <w:rPr>
          <w:u w:val="single"/>
          <w:lang w:val="hr-HR"/>
        </w:rPr>
        <w:t xml:space="preserve">neto kupac električne energije, „razumni period“ ne smije prelaziti dvanaest (12) mjeseci. </w:t>
      </w:r>
    </w:p>
    <w:p w14:paraId="6B268D97" w14:textId="77777777" w:rsidR="00014FB0" w:rsidRPr="00EF5D0A" w:rsidRDefault="00014FB0">
      <w:pPr>
        <w:pStyle w:val="SectionEnd"/>
        <w:rPr>
          <w:lang w:val="hr-HR"/>
        </w:rPr>
        <w:sectPr w:rsidR="00014FB0" w:rsidRPr="00EF5D0A">
          <w:headerReference w:type="even" r:id="rId18"/>
          <w:headerReference w:type="default" r:id="rId19"/>
          <w:footerReference w:type="even" r:id="rId20"/>
          <w:footerReference w:type="default" r:id="rId21"/>
          <w:pgSz w:w="11895" w:h="16834"/>
          <w:pgMar w:top="1440" w:right="1440" w:bottom="1440" w:left="1440" w:header="720" w:footer="720" w:gutter="0"/>
          <w:cols w:space="720"/>
        </w:sectPr>
      </w:pPr>
    </w:p>
    <w:p w14:paraId="4112D03E" w14:textId="7B015C5B" w:rsidR="00014FB0" w:rsidRPr="00EF5D0A" w:rsidRDefault="00EB0E3B">
      <w:pPr>
        <w:pStyle w:val="IASBSectionTitle2NonInd"/>
        <w:rPr>
          <w:lang w:val="hr-HR"/>
        </w:rPr>
      </w:pPr>
      <w:bookmarkStart w:id="14" w:name="unique_7"/>
      <w:r>
        <w:rPr>
          <w:lang w:val="hr-HR"/>
        </w:rPr>
        <w:lastRenderedPageBreak/>
        <w:t>Izmjene i dopune MSFI-ja</w:t>
      </w:r>
      <w:r w:rsidR="001C3CBD" w:rsidRPr="00EF5D0A">
        <w:rPr>
          <w:lang w:val="hr-HR"/>
        </w:rPr>
        <w:t xml:space="preserve"> 7 </w:t>
      </w:r>
      <w:r w:rsidR="001C3CBD" w:rsidRPr="00EF5D0A">
        <w:rPr>
          <w:i/>
          <w:lang w:val="hr-HR"/>
        </w:rPr>
        <w:t>Finan</w:t>
      </w:r>
      <w:r w:rsidR="00AB5B5E">
        <w:rPr>
          <w:i/>
          <w:lang w:val="hr-HR"/>
        </w:rPr>
        <w:t>sijski instrumenti</w:t>
      </w:r>
      <w:r w:rsidR="001C3CBD" w:rsidRPr="00EF5D0A">
        <w:rPr>
          <w:i/>
          <w:lang w:val="hr-HR"/>
        </w:rPr>
        <w:t xml:space="preserve">: </w:t>
      </w:r>
      <w:r w:rsidR="00AB5B5E">
        <w:rPr>
          <w:i/>
          <w:lang w:val="hr-HR"/>
        </w:rPr>
        <w:t>Objavljivanja</w:t>
      </w:r>
      <w:bookmarkEnd w:id="14"/>
    </w:p>
    <w:p w14:paraId="09CBB411" w14:textId="77777777" w:rsidR="00014FB0" w:rsidRPr="00EF5D0A" w:rsidRDefault="00014FB0">
      <w:pPr>
        <w:pStyle w:val="IASBNormalnpara"/>
        <w:rPr>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014FB0" w:rsidRPr="00DF65E9" w14:paraId="14372B55" w14:textId="77777777">
        <w:tc>
          <w:tcPr>
            <w:tcW w:w="50" w:type="pct"/>
            <w:tcBorders>
              <w:bottom w:val="single" w:sz="0" w:space="0" w:color="auto"/>
              <w:right w:val="single" w:sz="0" w:space="0" w:color="auto"/>
            </w:tcBorders>
          </w:tcPr>
          <w:p w14:paraId="66C7A5F9" w14:textId="3346D29B" w:rsidR="00014FB0" w:rsidRPr="00EF5D0A" w:rsidRDefault="00AB5B5E">
            <w:pPr>
              <w:pStyle w:val="IASBTableArial"/>
              <w:rPr>
                <w:lang w:val="hr-HR"/>
              </w:rPr>
            </w:pPr>
            <w:r>
              <w:rPr>
                <w:lang w:val="hr-HR"/>
              </w:rPr>
              <w:t xml:space="preserve">Uvedene su tačke od </w:t>
            </w:r>
            <w:r w:rsidR="001C3CBD" w:rsidRPr="00EF5D0A">
              <w:rPr>
                <w:lang w:val="hr-HR"/>
              </w:rPr>
              <w:t>5</w:t>
            </w:r>
            <w:r w:rsidR="0091602E">
              <w:rPr>
                <w:lang w:val="hr-HR"/>
              </w:rPr>
              <w:t>.</w:t>
            </w:r>
            <w:r w:rsidR="001C3CBD" w:rsidRPr="00EF5D0A">
              <w:rPr>
                <w:lang w:val="hr-HR"/>
              </w:rPr>
              <w:t>B</w:t>
            </w:r>
            <w:r>
              <w:rPr>
                <w:lang w:val="hr-HR"/>
              </w:rPr>
              <w:t xml:space="preserve">. do </w:t>
            </w:r>
            <w:r w:rsidR="001C3CBD" w:rsidRPr="00EF5D0A">
              <w:rPr>
                <w:lang w:val="hr-HR"/>
              </w:rPr>
              <w:t>5</w:t>
            </w:r>
            <w:r w:rsidR="0091602E">
              <w:rPr>
                <w:lang w:val="hr-HR"/>
              </w:rPr>
              <w:t>.</w:t>
            </w:r>
            <w:r w:rsidR="001C3CBD" w:rsidRPr="00EF5D0A">
              <w:rPr>
                <w:lang w:val="hr-HR"/>
              </w:rPr>
              <w:t xml:space="preserve">D, </w:t>
            </w:r>
            <w:r>
              <w:rPr>
                <w:lang w:val="hr-HR"/>
              </w:rPr>
              <w:t xml:space="preserve">od </w:t>
            </w:r>
            <w:r w:rsidR="001C3CBD" w:rsidRPr="00EF5D0A">
              <w:rPr>
                <w:lang w:val="hr-HR"/>
              </w:rPr>
              <w:t>30</w:t>
            </w:r>
            <w:r w:rsidR="0091602E">
              <w:rPr>
                <w:lang w:val="hr-HR"/>
              </w:rPr>
              <w:t>.</w:t>
            </w:r>
            <w:r w:rsidR="001C3CBD" w:rsidRPr="00EF5D0A">
              <w:rPr>
                <w:lang w:val="hr-HR"/>
              </w:rPr>
              <w:t>A</w:t>
            </w:r>
            <w:r>
              <w:rPr>
                <w:lang w:val="hr-HR"/>
              </w:rPr>
              <w:t xml:space="preserve">. do </w:t>
            </w:r>
            <w:r w:rsidR="001C3CBD" w:rsidRPr="00EF5D0A">
              <w:rPr>
                <w:lang w:val="hr-HR"/>
              </w:rPr>
              <w:t>30</w:t>
            </w:r>
            <w:r w:rsidR="0091602E">
              <w:rPr>
                <w:lang w:val="hr-HR"/>
              </w:rPr>
              <w:t>.</w:t>
            </w:r>
            <w:r w:rsidR="001C3CBD" w:rsidRPr="00EF5D0A">
              <w:rPr>
                <w:lang w:val="hr-HR"/>
              </w:rPr>
              <w:t>C</w:t>
            </w:r>
            <w:r>
              <w:rPr>
                <w:lang w:val="hr-HR"/>
              </w:rPr>
              <w:t xml:space="preserve"> te od </w:t>
            </w:r>
            <w:r w:rsidR="001C3CBD" w:rsidRPr="00EF5D0A">
              <w:rPr>
                <w:lang w:val="hr-HR"/>
              </w:rPr>
              <w:t>44</w:t>
            </w:r>
            <w:r w:rsidR="0091602E">
              <w:rPr>
                <w:lang w:val="hr-HR"/>
              </w:rPr>
              <w:t>.</w:t>
            </w:r>
            <w:r w:rsidR="001C3CBD" w:rsidRPr="00EF5D0A">
              <w:rPr>
                <w:lang w:val="hr-HR"/>
              </w:rPr>
              <w:t>OO</w:t>
            </w:r>
            <w:r>
              <w:rPr>
                <w:lang w:val="hr-HR"/>
              </w:rPr>
              <w:t xml:space="preserve">. do </w:t>
            </w:r>
            <w:r w:rsidR="001C3CBD" w:rsidRPr="00EF5D0A">
              <w:rPr>
                <w:lang w:val="hr-HR"/>
              </w:rPr>
              <w:t>44</w:t>
            </w:r>
            <w:r w:rsidR="0091602E">
              <w:rPr>
                <w:lang w:val="hr-HR"/>
              </w:rPr>
              <w:t>.</w:t>
            </w:r>
            <w:r w:rsidR="001C3CBD" w:rsidRPr="00EF5D0A">
              <w:rPr>
                <w:lang w:val="hr-HR"/>
              </w:rPr>
              <w:t>PP</w:t>
            </w:r>
            <w:r>
              <w:rPr>
                <w:lang w:val="hr-HR"/>
              </w:rPr>
              <w:t xml:space="preserve">, kao i podnaslov ispred tačke </w:t>
            </w:r>
            <w:r w:rsidR="001C3CBD" w:rsidRPr="00EF5D0A">
              <w:rPr>
                <w:lang w:val="hr-HR"/>
              </w:rPr>
              <w:t>30</w:t>
            </w:r>
            <w:r w:rsidR="0091602E">
              <w:rPr>
                <w:lang w:val="hr-HR"/>
              </w:rPr>
              <w:t>.</w:t>
            </w:r>
            <w:r w:rsidR="001C3CBD" w:rsidRPr="00EF5D0A">
              <w:rPr>
                <w:lang w:val="hr-HR"/>
              </w:rPr>
              <w:t>A</w:t>
            </w:r>
            <w:r>
              <w:rPr>
                <w:lang w:val="hr-HR"/>
              </w:rPr>
              <w:t xml:space="preserve">. Tačka 5. je uvrštena zbog bolje preglednosti. Novi tekst je podvučen. </w:t>
            </w:r>
          </w:p>
        </w:tc>
      </w:tr>
    </w:tbl>
    <w:p w14:paraId="2386289C" w14:textId="77777777" w:rsidR="00014FB0" w:rsidRPr="00EF5D0A" w:rsidRDefault="00014FB0">
      <w:pPr>
        <w:pStyle w:val="IASBNormalnpara"/>
        <w:rPr>
          <w:lang w:val="hr-HR"/>
        </w:rPr>
      </w:pPr>
    </w:p>
    <w:p w14:paraId="6CD09C25" w14:textId="14ADF7F3" w:rsidR="00014FB0" w:rsidRPr="00EF5D0A" w:rsidRDefault="00AB5B5E">
      <w:pPr>
        <w:pStyle w:val="IASBSectionTitle1NonInd"/>
        <w:rPr>
          <w:lang w:val="hr-HR"/>
        </w:rPr>
      </w:pPr>
      <w:r>
        <w:rPr>
          <w:lang w:val="hr-HR"/>
        </w:rPr>
        <w:t>Djelokrug</w:t>
      </w:r>
    </w:p>
    <w:p w14:paraId="1A032F7B" w14:textId="77777777" w:rsidR="00014FB0" w:rsidRPr="00EF5D0A" w:rsidRDefault="001C3CBD">
      <w:pPr>
        <w:pStyle w:val="IASBNormalnpara"/>
        <w:rPr>
          <w:lang w:val="hr-HR"/>
        </w:rPr>
      </w:pPr>
      <w:r w:rsidRPr="00EF5D0A">
        <w:rPr>
          <w:lang w:val="hr-HR"/>
        </w:rPr>
        <w:tab/>
        <w:t>...</w:t>
      </w:r>
    </w:p>
    <w:p w14:paraId="074134DD" w14:textId="20739BA9" w:rsidR="00014FB0" w:rsidRPr="00EF5D0A" w:rsidRDefault="001C3CBD">
      <w:pPr>
        <w:pStyle w:val="IASBNormalnpara"/>
        <w:rPr>
          <w:lang w:val="hr-HR"/>
        </w:rPr>
      </w:pPr>
      <w:r w:rsidRPr="00EF5D0A">
        <w:rPr>
          <w:color w:val="A6A6A6" w:themeColor="background1" w:themeShade="A6"/>
          <w:lang w:val="hr-HR"/>
        </w:rPr>
        <w:t>5</w:t>
      </w:r>
      <w:r w:rsidR="00E30C0E">
        <w:rPr>
          <w:color w:val="A6A6A6" w:themeColor="background1" w:themeShade="A6"/>
          <w:lang w:val="hr-HR"/>
        </w:rPr>
        <w:t>.</w:t>
      </w:r>
      <w:r w:rsidRPr="00EF5D0A">
        <w:rPr>
          <w:color w:val="A6A6A6" w:themeColor="background1" w:themeShade="A6"/>
          <w:lang w:val="hr-HR"/>
        </w:rPr>
        <w:tab/>
      </w:r>
      <w:r w:rsidR="00AB5B5E">
        <w:rPr>
          <w:color w:val="A6A6A6" w:themeColor="background1" w:themeShade="A6"/>
          <w:lang w:val="hr-HR"/>
        </w:rPr>
        <w:t xml:space="preserve">Ovaj MSFI </w:t>
      </w:r>
      <w:r w:rsidR="00071B2C">
        <w:rPr>
          <w:color w:val="A6A6A6" w:themeColor="background1" w:themeShade="A6"/>
          <w:lang w:val="hr-HR"/>
        </w:rPr>
        <w:t xml:space="preserve">se </w:t>
      </w:r>
      <w:r w:rsidR="00AB5B5E">
        <w:rPr>
          <w:color w:val="A6A6A6" w:themeColor="background1" w:themeShade="A6"/>
          <w:lang w:val="hr-HR"/>
        </w:rPr>
        <w:t xml:space="preserve">primjenjuje </w:t>
      </w:r>
      <w:r w:rsidR="00071B2C">
        <w:rPr>
          <w:color w:val="A6A6A6" w:themeColor="background1" w:themeShade="A6"/>
          <w:lang w:val="hr-HR"/>
        </w:rPr>
        <w:t xml:space="preserve">na ugovore o kupovini ili prodaji nefinansijske stavke koji su unutar područja primjene MSFI-ja 9. </w:t>
      </w:r>
      <w:r w:rsidR="00AB5B5E">
        <w:rPr>
          <w:color w:val="A6A6A6" w:themeColor="background1" w:themeShade="A6"/>
          <w:lang w:val="hr-HR"/>
        </w:rPr>
        <w:t xml:space="preserve"> </w:t>
      </w:r>
    </w:p>
    <w:p w14:paraId="6B95B815" w14:textId="77777777" w:rsidR="00014FB0" w:rsidRPr="00EF5D0A" w:rsidRDefault="001C3CBD">
      <w:pPr>
        <w:pStyle w:val="IASBNormalnpara"/>
        <w:rPr>
          <w:lang w:val="hr-HR"/>
        </w:rPr>
      </w:pPr>
      <w:r w:rsidRPr="00EF5D0A">
        <w:rPr>
          <w:lang w:val="hr-HR"/>
        </w:rPr>
        <w:tab/>
        <w:t>...</w:t>
      </w:r>
    </w:p>
    <w:p w14:paraId="69C3E780" w14:textId="39969645" w:rsidR="00014FB0" w:rsidRPr="00EF5D0A" w:rsidRDefault="001C3CBD">
      <w:pPr>
        <w:pStyle w:val="IASBNormalnpara"/>
        <w:rPr>
          <w:lang w:val="hr-HR"/>
        </w:rPr>
      </w:pPr>
      <w:r w:rsidRPr="00EF5D0A">
        <w:rPr>
          <w:u w:val="single"/>
          <w:lang w:val="hr-HR"/>
        </w:rPr>
        <w:t>5</w:t>
      </w:r>
      <w:r w:rsidR="00071B2C">
        <w:rPr>
          <w:u w:val="single"/>
          <w:lang w:val="hr-HR"/>
        </w:rPr>
        <w:t>.</w:t>
      </w:r>
      <w:r w:rsidRPr="00EF5D0A">
        <w:rPr>
          <w:u w:val="single"/>
          <w:lang w:val="hr-HR"/>
        </w:rPr>
        <w:t>B</w:t>
      </w:r>
      <w:r w:rsidRPr="00EF5D0A">
        <w:rPr>
          <w:lang w:val="hr-HR"/>
        </w:rPr>
        <w:tab/>
      </w:r>
      <w:r w:rsidR="00071B2C">
        <w:rPr>
          <w:u w:val="single"/>
          <w:lang w:val="hr-HR"/>
        </w:rPr>
        <w:t xml:space="preserve">Tačka </w:t>
      </w:r>
      <w:r w:rsidRPr="00EF5D0A">
        <w:rPr>
          <w:u w:val="single"/>
          <w:lang w:val="hr-HR"/>
        </w:rPr>
        <w:t>30</w:t>
      </w:r>
      <w:r w:rsidR="00071B2C">
        <w:rPr>
          <w:u w:val="single"/>
          <w:lang w:val="hr-HR"/>
        </w:rPr>
        <w:t>.</w:t>
      </w:r>
      <w:r w:rsidRPr="00EF5D0A">
        <w:rPr>
          <w:u w:val="single"/>
          <w:lang w:val="hr-HR"/>
        </w:rPr>
        <w:t xml:space="preserve">A </w:t>
      </w:r>
      <w:r w:rsidR="00071B2C">
        <w:rPr>
          <w:u w:val="single"/>
          <w:lang w:val="hr-HR"/>
        </w:rPr>
        <w:t xml:space="preserve">se primjenjuje samo na ugovore o kupovini električne energije </w:t>
      </w:r>
      <w:r w:rsidR="007A6F02">
        <w:rPr>
          <w:u w:val="single"/>
          <w:lang w:val="hr-HR"/>
        </w:rPr>
        <w:t xml:space="preserve">iz izvora </w:t>
      </w:r>
      <w:r w:rsidR="00071B2C">
        <w:rPr>
          <w:u w:val="single"/>
          <w:lang w:val="hr-HR"/>
        </w:rPr>
        <w:t>zavis</w:t>
      </w:r>
      <w:r w:rsidR="007A6F02">
        <w:rPr>
          <w:u w:val="single"/>
          <w:lang w:val="hr-HR"/>
        </w:rPr>
        <w:t>nih</w:t>
      </w:r>
      <w:r w:rsidR="00071B2C">
        <w:rPr>
          <w:u w:val="single"/>
          <w:lang w:val="hr-HR"/>
        </w:rPr>
        <w:t xml:space="preserve"> od prirodnih </w:t>
      </w:r>
      <w:r w:rsidR="007A6F02">
        <w:rPr>
          <w:u w:val="single"/>
          <w:lang w:val="hr-HR"/>
        </w:rPr>
        <w:t>uslova</w:t>
      </w:r>
      <w:r w:rsidR="00071B2C">
        <w:rPr>
          <w:u w:val="single"/>
          <w:lang w:val="hr-HR"/>
        </w:rPr>
        <w:t xml:space="preserve"> koji zadovoljavaju </w:t>
      </w:r>
      <w:r w:rsidR="00522C10">
        <w:rPr>
          <w:u w:val="single"/>
          <w:lang w:val="hr-HR"/>
        </w:rPr>
        <w:t>zahtjev</w:t>
      </w:r>
      <w:r w:rsidR="00071B2C">
        <w:rPr>
          <w:u w:val="single"/>
          <w:lang w:val="hr-HR"/>
        </w:rPr>
        <w:t xml:space="preserve">e iz tačke </w:t>
      </w:r>
      <w:r w:rsidRPr="00EF5D0A">
        <w:rPr>
          <w:u w:val="single"/>
          <w:lang w:val="hr-HR"/>
        </w:rPr>
        <w:t xml:space="preserve">2.3A </w:t>
      </w:r>
      <w:r w:rsidR="00071B2C">
        <w:rPr>
          <w:u w:val="single"/>
          <w:lang w:val="hr-HR"/>
        </w:rPr>
        <w:t>MSFI-ja</w:t>
      </w:r>
      <w:r w:rsidRPr="00EF5D0A">
        <w:rPr>
          <w:u w:val="single"/>
          <w:lang w:val="hr-HR"/>
        </w:rPr>
        <w:t xml:space="preserve"> 9 </w:t>
      </w:r>
      <w:r w:rsidR="00071B2C">
        <w:rPr>
          <w:u w:val="single"/>
          <w:lang w:val="hr-HR"/>
        </w:rPr>
        <w:t xml:space="preserve">i koji nisu unutar područja primjene tog Standarda u skladu sa tačkama </w:t>
      </w:r>
      <w:r w:rsidRPr="00EF5D0A">
        <w:rPr>
          <w:u w:val="single"/>
          <w:lang w:val="hr-HR"/>
        </w:rPr>
        <w:t>B2.7</w:t>
      </w:r>
      <w:r w:rsidR="00071B2C">
        <w:rPr>
          <w:u w:val="single"/>
          <w:lang w:val="hr-HR"/>
        </w:rPr>
        <w:t xml:space="preserve"> i </w:t>
      </w:r>
      <w:r w:rsidRPr="00EF5D0A">
        <w:rPr>
          <w:u w:val="single"/>
          <w:lang w:val="hr-HR"/>
        </w:rPr>
        <w:t xml:space="preserve">B2.8 </w:t>
      </w:r>
      <w:r w:rsidR="00071B2C">
        <w:rPr>
          <w:u w:val="single"/>
          <w:lang w:val="hr-HR"/>
        </w:rPr>
        <w:t>MSFI-ja</w:t>
      </w:r>
      <w:r w:rsidRPr="00EF5D0A">
        <w:rPr>
          <w:u w:val="single"/>
          <w:lang w:val="hr-HR"/>
        </w:rPr>
        <w:t xml:space="preserve"> 9.</w:t>
      </w:r>
    </w:p>
    <w:p w14:paraId="1B950CAB" w14:textId="0DB254BB" w:rsidR="00014FB0" w:rsidRPr="00EF5D0A" w:rsidRDefault="001C3CBD">
      <w:pPr>
        <w:pStyle w:val="IASBNormalnpara"/>
        <w:rPr>
          <w:lang w:val="hr-HR"/>
        </w:rPr>
      </w:pPr>
      <w:r w:rsidRPr="00EF5D0A">
        <w:rPr>
          <w:u w:val="single"/>
          <w:lang w:val="hr-HR"/>
        </w:rPr>
        <w:t>5</w:t>
      </w:r>
      <w:r w:rsidR="00071B2C">
        <w:rPr>
          <w:u w:val="single"/>
          <w:lang w:val="hr-HR"/>
        </w:rPr>
        <w:t>.</w:t>
      </w:r>
      <w:r w:rsidRPr="00EF5D0A">
        <w:rPr>
          <w:u w:val="single"/>
          <w:lang w:val="hr-HR"/>
        </w:rPr>
        <w:t>C</w:t>
      </w:r>
      <w:r w:rsidRPr="00EF5D0A">
        <w:rPr>
          <w:lang w:val="hr-HR"/>
        </w:rPr>
        <w:tab/>
      </w:r>
      <w:r w:rsidR="00071B2C">
        <w:rPr>
          <w:u w:val="single"/>
          <w:lang w:val="hr-HR"/>
        </w:rPr>
        <w:t xml:space="preserve">Tačka </w:t>
      </w:r>
      <w:r w:rsidRPr="00EF5D0A">
        <w:rPr>
          <w:u w:val="single"/>
          <w:lang w:val="hr-HR"/>
        </w:rPr>
        <w:t>30</w:t>
      </w:r>
      <w:r w:rsidR="00071B2C">
        <w:rPr>
          <w:u w:val="single"/>
          <w:lang w:val="hr-HR"/>
        </w:rPr>
        <w:t>.</w:t>
      </w:r>
      <w:r w:rsidRPr="00EF5D0A">
        <w:rPr>
          <w:u w:val="single"/>
          <w:lang w:val="hr-HR"/>
        </w:rPr>
        <w:t xml:space="preserve">B </w:t>
      </w:r>
      <w:r w:rsidR="00071B2C">
        <w:rPr>
          <w:u w:val="single"/>
          <w:lang w:val="hr-HR"/>
        </w:rPr>
        <w:t xml:space="preserve">se primjenjuje samo na ugovore koji zadovoljavaju zahtjeve iz tačke </w:t>
      </w:r>
      <w:r w:rsidRPr="00EF5D0A">
        <w:rPr>
          <w:u w:val="single"/>
          <w:lang w:val="hr-HR"/>
        </w:rPr>
        <w:t xml:space="preserve">2.3A </w:t>
      </w:r>
      <w:r w:rsidR="00071B2C">
        <w:rPr>
          <w:u w:val="single"/>
          <w:lang w:val="hr-HR"/>
        </w:rPr>
        <w:t>MSFI-ja</w:t>
      </w:r>
      <w:r w:rsidRPr="00EF5D0A">
        <w:rPr>
          <w:u w:val="single"/>
          <w:lang w:val="hr-HR"/>
        </w:rPr>
        <w:t xml:space="preserve"> 9 </w:t>
      </w:r>
      <w:r w:rsidR="00071B2C">
        <w:rPr>
          <w:u w:val="single"/>
          <w:lang w:val="hr-HR"/>
        </w:rPr>
        <w:t xml:space="preserve">i koji su određeni u odnos zaštite novčanog toka od rizika u skladu sa tačkom </w:t>
      </w:r>
      <w:r w:rsidRPr="00EF5D0A">
        <w:rPr>
          <w:u w:val="single"/>
          <w:lang w:val="hr-HR"/>
        </w:rPr>
        <w:t xml:space="preserve">6.10.1 </w:t>
      </w:r>
      <w:r w:rsidR="00071B2C">
        <w:rPr>
          <w:u w:val="single"/>
          <w:lang w:val="hr-HR"/>
        </w:rPr>
        <w:t>MSFI-ja</w:t>
      </w:r>
      <w:r w:rsidRPr="00EF5D0A">
        <w:rPr>
          <w:u w:val="single"/>
          <w:lang w:val="hr-HR"/>
        </w:rPr>
        <w:t xml:space="preserve"> 9.</w:t>
      </w:r>
    </w:p>
    <w:p w14:paraId="4013B691" w14:textId="610FA0D1" w:rsidR="00014FB0" w:rsidRPr="00EF5D0A" w:rsidRDefault="001C3CBD">
      <w:pPr>
        <w:pStyle w:val="IASBNormalnpara"/>
        <w:rPr>
          <w:lang w:val="hr-HR"/>
        </w:rPr>
      </w:pPr>
      <w:r w:rsidRPr="00EF5D0A">
        <w:rPr>
          <w:u w:val="single"/>
          <w:lang w:val="hr-HR"/>
        </w:rPr>
        <w:t>5</w:t>
      </w:r>
      <w:r w:rsidR="00071B2C">
        <w:rPr>
          <w:u w:val="single"/>
          <w:lang w:val="hr-HR"/>
        </w:rPr>
        <w:t>.</w:t>
      </w:r>
      <w:r w:rsidRPr="00EF5D0A">
        <w:rPr>
          <w:u w:val="single"/>
          <w:lang w:val="hr-HR"/>
        </w:rPr>
        <w:t>D</w:t>
      </w:r>
      <w:r w:rsidRPr="00EF5D0A">
        <w:rPr>
          <w:lang w:val="hr-HR"/>
        </w:rPr>
        <w:tab/>
      </w:r>
      <w:r w:rsidR="00071B2C">
        <w:rPr>
          <w:u w:val="single"/>
          <w:lang w:val="hr-HR"/>
        </w:rPr>
        <w:t xml:space="preserve">Tačka </w:t>
      </w:r>
      <w:r w:rsidRPr="00EF5D0A">
        <w:rPr>
          <w:u w:val="single"/>
          <w:lang w:val="hr-HR"/>
        </w:rPr>
        <w:t>30</w:t>
      </w:r>
      <w:r w:rsidR="00071B2C">
        <w:rPr>
          <w:u w:val="single"/>
          <w:lang w:val="hr-HR"/>
        </w:rPr>
        <w:t>.</w:t>
      </w:r>
      <w:r w:rsidRPr="00EF5D0A">
        <w:rPr>
          <w:u w:val="single"/>
          <w:lang w:val="hr-HR"/>
        </w:rPr>
        <w:t xml:space="preserve">C </w:t>
      </w:r>
      <w:r w:rsidR="00071B2C">
        <w:rPr>
          <w:u w:val="single"/>
          <w:lang w:val="hr-HR"/>
        </w:rPr>
        <w:t xml:space="preserve">se primjenjuje samo na ugovore koji zadovoljavaju zahtjeve iz tačke </w:t>
      </w:r>
      <w:r w:rsidRPr="00EF5D0A">
        <w:rPr>
          <w:u w:val="single"/>
          <w:lang w:val="hr-HR"/>
        </w:rPr>
        <w:t>2.3</w:t>
      </w:r>
      <w:r w:rsidR="00522C10">
        <w:rPr>
          <w:u w:val="single"/>
          <w:lang w:val="hr-HR"/>
        </w:rPr>
        <w:t>.</w:t>
      </w:r>
      <w:r w:rsidRPr="00EF5D0A">
        <w:rPr>
          <w:u w:val="single"/>
          <w:lang w:val="hr-HR"/>
        </w:rPr>
        <w:t xml:space="preserve">A </w:t>
      </w:r>
      <w:r w:rsidR="00071B2C">
        <w:rPr>
          <w:u w:val="single"/>
          <w:lang w:val="hr-HR"/>
        </w:rPr>
        <w:t>MSFI-ja</w:t>
      </w:r>
      <w:r w:rsidRPr="00EF5D0A">
        <w:rPr>
          <w:u w:val="single"/>
          <w:lang w:val="hr-HR"/>
        </w:rPr>
        <w:t xml:space="preserve"> 9 </w:t>
      </w:r>
      <w:r w:rsidR="00071B2C">
        <w:rPr>
          <w:u w:val="single"/>
          <w:lang w:val="hr-HR"/>
        </w:rPr>
        <w:t xml:space="preserve">i koji su sklopljeni </w:t>
      </w:r>
      <w:r w:rsidR="00C60127">
        <w:rPr>
          <w:u w:val="single"/>
          <w:lang w:val="hr-HR"/>
        </w:rPr>
        <w:t>u vezi sa nabavkama električne energije subjekta. U te ugovore spadaju ugovori koji su</w:t>
      </w:r>
      <w:r w:rsidRPr="00EF5D0A">
        <w:rPr>
          <w:u w:val="single"/>
          <w:lang w:val="hr-HR"/>
        </w:rPr>
        <w:t>:</w:t>
      </w:r>
    </w:p>
    <w:p w14:paraId="4F4FA63A" w14:textId="419D2FEC" w:rsidR="00014FB0" w:rsidRPr="00EF5D0A" w:rsidRDefault="001C3CBD">
      <w:pPr>
        <w:pStyle w:val="IASBNormalnparaL1"/>
        <w:rPr>
          <w:lang w:val="hr-HR"/>
        </w:rPr>
      </w:pPr>
      <w:r w:rsidRPr="00EF5D0A">
        <w:rPr>
          <w:u w:val="single"/>
          <w:lang w:val="hr-HR"/>
        </w:rPr>
        <w:t>(a)</w:t>
      </w:r>
      <w:r w:rsidRPr="00EF5D0A">
        <w:rPr>
          <w:lang w:val="hr-HR"/>
        </w:rPr>
        <w:tab/>
      </w:r>
      <w:r w:rsidR="00C60127">
        <w:rPr>
          <w:u w:val="single"/>
          <w:lang w:val="hr-HR"/>
        </w:rPr>
        <w:t xml:space="preserve">unutar područja primjene MSFI-ja </w:t>
      </w:r>
      <w:r w:rsidRPr="00EF5D0A">
        <w:rPr>
          <w:u w:val="single"/>
          <w:lang w:val="hr-HR"/>
        </w:rPr>
        <w:t xml:space="preserve">9; </w:t>
      </w:r>
      <w:r w:rsidR="00C60127">
        <w:rPr>
          <w:u w:val="single"/>
          <w:lang w:val="hr-HR"/>
        </w:rPr>
        <w:t>i</w:t>
      </w:r>
    </w:p>
    <w:p w14:paraId="3DA8D8D6" w14:textId="0D36C167" w:rsidR="00014FB0" w:rsidRPr="00EF5D0A" w:rsidRDefault="001C3CBD">
      <w:pPr>
        <w:pStyle w:val="IASBNormalnparaL1"/>
        <w:rPr>
          <w:lang w:val="hr-HR"/>
        </w:rPr>
      </w:pPr>
      <w:r w:rsidRPr="00EF5D0A">
        <w:rPr>
          <w:u w:val="single"/>
          <w:lang w:val="hr-HR"/>
        </w:rPr>
        <w:t>(b)</w:t>
      </w:r>
      <w:r w:rsidRPr="00EF5D0A">
        <w:rPr>
          <w:lang w:val="hr-HR"/>
        </w:rPr>
        <w:tab/>
      </w:r>
      <w:r w:rsidR="00C60127">
        <w:rPr>
          <w:u w:val="single"/>
          <w:lang w:val="hr-HR"/>
        </w:rPr>
        <w:t>izvan područja primjene MSFI-ja</w:t>
      </w:r>
      <w:r w:rsidRPr="00EF5D0A">
        <w:rPr>
          <w:u w:val="single"/>
          <w:lang w:val="hr-HR"/>
        </w:rPr>
        <w:t xml:space="preserve"> 9 </w:t>
      </w:r>
      <w:r w:rsidR="00C60127">
        <w:rPr>
          <w:u w:val="single"/>
          <w:lang w:val="hr-HR"/>
        </w:rPr>
        <w:t xml:space="preserve">u skladu sa tačkom </w:t>
      </w:r>
      <w:r w:rsidRPr="00EF5D0A">
        <w:rPr>
          <w:u w:val="single"/>
          <w:lang w:val="hr-HR"/>
        </w:rPr>
        <w:t xml:space="preserve">2.4 </w:t>
      </w:r>
      <w:r w:rsidR="00C60127">
        <w:rPr>
          <w:u w:val="single"/>
          <w:lang w:val="hr-HR"/>
        </w:rPr>
        <w:t xml:space="preserve">tog Standarda, uključujući ugovore koji su iz njegovog područja primjene isključeni prema tačkama </w:t>
      </w:r>
      <w:r w:rsidRPr="00EF5D0A">
        <w:rPr>
          <w:u w:val="single"/>
          <w:lang w:val="hr-HR"/>
        </w:rPr>
        <w:t>B2.7</w:t>
      </w:r>
      <w:r w:rsidR="00C60127">
        <w:rPr>
          <w:u w:val="single"/>
          <w:lang w:val="hr-HR"/>
        </w:rPr>
        <w:t xml:space="preserve"> i </w:t>
      </w:r>
      <w:r w:rsidRPr="00EF5D0A">
        <w:rPr>
          <w:u w:val="single"/>
          <w:lang w:val="hr-HR"/>
        </w:rPr>
        <w:t xml:space="preserve">B2.8 </w:t>
      </w:r>
      <w:r w:rsidR="00C60127">
        <w:rPr>
          <w:u w:val="single"/>
          <w:lang w:val="hr-HR"/>
        </w:rPr>
        <w:t>tog Standarda</w:t>
      </w:r>
      <w:r w:rsidRPr="00EF5D0A">
        <w:rPr>
          <w:u w:val="single"/>
          <w:lang w:val="hr-HR"/>
        </w:rPr>
        <w:t>.</w:t>
      </w:r>
    </w:p>
    <w:p w14:paraId="11935473" w14:textId="77777777" w:rsidR="00014FB0" w:rsidRPr="00EF5D0A" w:rsidRDefault="001C3CBD">
      <w:pPr>
        <w:pStyle w:val="IASBNormalnpara"/>
        <w:rPr>
          <w:lang w:val="hr-HR"/>
        </w:rPr>
      </w:pPr>
      <w:r w:rsidRPr="00EF5D0A">
        <w:rPr>
          <w:lang w:val="hr-HR"/>
        </w:rPr>
        <w:tab/>
        <w:t>...</w:t>
      </w:r>
    </w:p>
    <w:p w14:paraId="5C1B76EC" w14:textId="36571F51" w:rsidR="00014FB0" w:rsidRPr="00EF5D0A" w:rsidRDefault="00C60127">
      <w:pPr>
        <w:pStyle w:val="IASBSectionTitle1NonInd"/>
        <w:rPr>
          <w:lang w:val="hr-HR"/>
        </w:rPr>
      </w:pPr>
      <w:bookmarkStart w:id="15" w:name="unique_26"/>
      <w:r>
        <w:rPr>
          <w:lang w:val="hr-HR"/>
        </w:rPr>
        <w:t xml:space="preserve">Značaj finansijskih instrumenata za finansijski položaj i uspješnost </w:t>
      </w:r>
      <w:bookmarkEnd w:id="15"/>
    </w:p>
    <w:p w14:paraId="24AE2FF3" w14:textId="77777777" w:rsidR="00014FB0" w:rsidRPr="00EF5D0A" w:rsidRDefault="001C3CBD">
      <w:pPr>
        <w:pStyle w:val="IASBNormalnpara"/>
        <w:rPr>
          <w:lang w:val="hr-HR"/>
        </w:rPr>
      </w:pPr>
      <w:r w:rsidRPr="00EF5D0A">
        <w:rPr>
          <w:lang w:val="hr-HR"/>
        </w:rPr>
        <w:tab/>
        <w:t>...</w:t>
      </w:r>
    </w:p>
    <w:p w14:paraId="49724C8D" w14:textId="2CF8CDB0" w:rsidR="00014FB0" w:rsidRPr="00EF5D0A" w:rsidRDefault="00C60127">
      <w:pPr>
        <w:pStyle w:val="IASBSectionTitle2Ind"/>
        <w:rPr>
          <w:lang w:val="hr-HR"/>
        </w:rPr>
      </w:pPr>
      <w:r>
        <w:rPr>
          <w:lang w:val="hr-HR"/>
        </w:rPr>
        <w:t xml:space="preserve">Druga objavljivanja </w:t>
      </w:r>
    </w:p>
    <w:p w14:paraId="40EF9DCE" w14:textId="77777777" w:rsidR="00014FB0" w:rsidRPr="00EF5D0A" w:rsidRDefault="001C3CBD">
      <w:pPr>
        <w:pStyle w:val="IASBNormalnpara"/>
        <w:rPr>
          <w:lang w:val="hr-HR"/>
        </w:rPr>
      </w:pPr>
      <w:r w:rsidRPr="00EF5D0A">
        <w:rPr>
          <w:lang w:val="hr-HR"/>
        </w:rPr>
        <w:tab/>
        <w:t>...</w:t>
      </w:r>
    </w:p>
    <w:p w14:paraId="4385C6D8" w14:textId="0509D1E3" w:rsidR="00014FB0" w:rsidRPr="00EF5D0A" w:rsidRDefault="00DF65E9">
      <w:pPr>
        <w:pStyle w:val="IASBSectionTitle3Ind"/>
        <w:rPr>
          <w:lang w:val="hr-HR"/>
        </w:rPr>
      </w:pPr>
      <w:bookmarkStart w:id="16" w:name="unique_28"/>
      <w:r>
        <w:rPr>
          <w:u w:val="single"/>
          <w:lang w:val="hr-HR"/>
        </w:rPr>
        <w:t xml:space="preserve">Ugovori </w:t>
      </w:r>
      <w:r w:rsidR="00AB7BD8">
        <w:rPr>
          <w:u w:val="single"/>
          <w:lang w:val="hr-HR"/>
        </w:rPr>
        <w:t>o</w:t>
      </w:r>
      <w:r>
        <w:rPr>
          <w:u w:val="single"/>
          <w:lang w:val="hr-HR"/>
        </w:rPr>
        <w:t xml:space="preserve"> električn</w:t>
      </w:r>
      <w:r w:rsidR="00AB7BD8">
        <w:rPr>
          <w:u w:val="single"/>
          <w:lang w:val="hr-HR"/>
        </w:rPr>
        <w:t xml:space="preserve">oj </w:t>
      </w:r>
      <w:r>
        <w:rPr>
          <w:u w:val="single"/>
          <w:lang w:val="hr-HR"/>
        </w:rPr>
        <w:t>energij</w:t>
      </w:r>
      <w:r w:rsidR="00AB7BD8">
        <w:rPr>
          <w:u w:val="single"/>
          <w:lang w:val="hr-HR"/>
        </w:rPr>
        <w:t xml:space="preserve">i </w:t>
      </w:r>
      <w:r>
        <w:rPr>
          <w:u w:val="single"/>
          <w:lang w:val="hr-HR"/>
        </w:rPr>
        <w:t>iz izvora zavisnih od prirodnih uslova</w:t>
      </w:r>
      <w:r w:rsidR="00C60127">
        <w:rPr>
          <w:u w:val="single"/>
          <w:lang w:val="hr-HR"/>
        </w:rPr>
        <w:t xml:space="preserve"> </w:t>
      </w:r>
      <w:bookmarkEnd w:id="16"/>
    </w:p>
    <w:p w14:paraId="7E2A3298" w14:textId="77105CCF" w:rsidR="00014FB0" w:rsidRPr="00EF5D0A" w:rsidRDefault="001C3CBD">
      <w:pPr>
        <w:pStyle w:val="IASBNormalnpara"/>
        <w:rPr>
          <w:lang w:val="hr-HR"/>
        </w:rPr>
      </w:pPr>
      <w:r w:rsidRPr="00EF5D0A">
        <w:rPr>
          <w:u w:val="single"/>
          <w:lang w:val="hr-HR"/>
        </w:rPr>
        <w:t>30</w:t>
      </w:r>
      <w:r w:rsidR="00C60127">
        <w:rPr>
          <w:u w:val="single"/>
          <w:lang w:val="hr-HR"/>
        </w:rPr>
        <w:t>.</w:t>
      </w:r>
      <w:r w:rsidRPr="00EF5D0A">
        <w:rPr>
          <w:u w:val="single"/>
          <w:lang w:val="hr-HR"/>
        </w:rPr>
        <w:t>A</w:t>
      </w:r>
      <w:r w:rsidRPr="00EF5D0A">
        <w:rPr>
          <w:lang w:val="hr-HR"/>
        </w:rPr>
        <w:tab/>
      </w:r>
      <w:r w:rsidR="00C60127">
        <w:rPr>
          <w:u w:val="single"/>
          <w:lang w:val="hr-HR"/>
        </w:rPr>
        <w:t xml:space="preserve">Subjekt, u jedinstvenoj bilješki u svojim finansijskim izvještajima, treba objaviti informacije o ugovorima koji zadovoljavaju kriterije iz tačke </w:t>
      </w:r>
      <w:r w:rsidRPr="00EF5D0A">
        <w:rPr>
          <w:u w:val="single"/>
          <w:lang w:val="hr-HR"/>
        </w:rPr>
        <w:t>5</w:t>
      </w:r>
      <w:r w:rsidR="00AB7BD8">
        <w:rPr>
          <w:u w:val="single"/>
          <w:lang w:val="hr-HR"/>
        </w:rPr>
        <w:t>.</w:t>
      </w:r>
      <w:r w:rsidRPr="00EF5D0A">
        <w:rPr>
          <w:u w:val="single"/>
          <w:lang w:val="hr-HR"/>
        </w:rPr>
        <w:t>B</w:t>
      </w:r>
      <w:r w:rsidR="00C60127">
        <w:rPr>
          <w:u w:val="single"/>
          <w:lang w:val="hr-HR"/>
        </w:rPr>
        <w:t xml:space="preserve"> a naročito informacije koje će korisnicima njegovih finansijskih izvještaja omogućiti da razumiju efekte tih ugovora na iznos, </w:t>
      </w:r>
      <w:r w:rsidR="00AB7BD8">
        <w:rPr>
          <w:u w:val="single"/>
          <w:lang w:val="hr-HR"/>
        </w:rPr>
        <w:t>termine</w:t>
      </w:r>
      <w:r w:rsidR="00C60127">
        <w:rPr>
          <w:u w:val="single"/>
          <w:lang w:val="hr-HR"/>
        </w:rPr>
        <w:t xml:space="preserve"> i neizvjesnost budućih novčanih tokova subjekta i na njegov</w:t>
      </w:r>
      <w:r w:rsidR="00F07D2C">
        <w:rPr>
          <w:u w:val="single"/>
          <w:lang w:val="hr-HR"/>
        </w:rPr>
        <w:t xml:space="preserve">u </w:t>
      </w:r>
      <w:r w:rsidR="00C60127">
        <w:rPr>
          <w:u w:val="single"/>
          <w:lang w:val="hr-HR"/>
        </w:rPr>
        <w:t>finansijsk</w:t>
      </w:r>
      <w:r w:rsidR="00F07D2C">
        <w:rPr>
          <w:u w:val="single"/>
          <w:lang w:val="hr-HR"/>
        </w:rPr>
        <w:t>u uspješnost</w:t>
      </w:r>
      <w:r w:rsidR="00C60127">
        <w:rPr>
          <w:u w:val="single"/>
          <w:lang w:val="hr-HR"/>
        </w:rPr>
        <w:t xml:space="preserve">. Kako bi ispunio taj cilj, subjekt objavljuje: </w:t>
      </w:r>
    </w:p>
    <w:p w14:paraId="33E3E12A" w14:textId="3E1BAE0B" w:rsidR="00014FB0" w:rsidRPr="00EF5D0A" w:rsidRDefault="001C3CBD">
      <w:pPr>
        <w:pStyle w:val="IASBNormalnparaL1"/>
        <w:rPr>
          <w:lang w:val="hr-HR"/>
        </w:rPr>
      </w:pPr>
      <w:r w:rsidRPr="00EF5D0A">
        <w:rPr>
          <w:u w:val="single"/>
          <w:lang w:val="hr-HR"/>
        </w:rPr>
        <w:t>(a)</w:t>
      </w:r>
      <w:r w:rsidRPr="00EF5D0A">
        <w:rPr>
          <w:lang w:val="hr-HR"/>
        </w:rPr>
        <w:tab/>
      </w:r>
      <w:r w:rsidRPr="00EF5D0A">
        <w:rPr>
          <w:u w:val="single"/>
          <w:lang w:val="hr-HR"/>
        </w:rPr>
        <w:t>i</w:t>
      </w:r>
      <w:r w:rsidR="00C60127">
        <w:rPr>
          <w:u w:val="single"/>
          <w:lang w:val="hr-HR"/>
        </w:rPr>
        <w:t>nformacije o obilježjima ugovora koja ga izlažu</w:t>
      </w:r>
    </w:p>
    <w:p w14:paraId="4841CA1F" w14:textId="42A385EB" w:rsidR="00014FB0" w:rsidRPr="00EF5D0A" w:rsidRDefault="001C3CBD">
      <w:pPr>
        <w:pStyle w:val="IASBNormalnparaL2"/>
        <w:rPr>
          <w:lang w:val="hr-HR"/>
        </w:rPr>
      </w:pPr>
      <w:r w:rsidRPr="00EF5D0A">
        <w:rPr>
          <w:u w:val="single"/>
          <w:lang w:val="hr-HR"/>
        </w:rPr>
        <w:t>(i)</w:t>
      </w:r>
      <w:r w:rsidRPr="00EF5D0A">
        <w:rPr>
          <w:lang w:val="hr-HR"/>
        </w:rPr>
        <w:tab/>
      </w:r>
      <w:r w:rsidR="00C60127">
        <w:rPr>
          <w:u w:val="single"/>
          <w:lang w:val="hr-HR"/>
        </w:rPr>
        <w:t xml:space="preserve">promjenjivosti </w:t>
      </w:r>
      <w:r w:rsidR="00430FBB">
        <w:rPr>
          <w:u w:val="single"/>
          <w:lang w:val="hr-HR"/>
        </w:rPr>
        <w:t>predmetnih</w:t>
      </w:r>
      <w:r w:rsidR="00C60127">
        <w:rPr>
          <w:u w:val="single"/>
          <w:lang w:val="hr-HR"/>
        </w:rPr>
        <w:t xml:space="preserve"> količina električne energije (vidjeti tačku </w:t>
      </w:r>
      <w:r w:rsidRPr="00EF5D0A">
        <w:rPr>
          <w:u w:val="single"/>
          <w:lang w:val="hr-HR"/>
        </w:rPr>
        <w:t>2.3</w:t>
      </w:r>
      <w:r w:rsidR="00F07D2C">
        <w:rPr>
          <w:u w:val="single"/>
          <w:lang w:val="hr-HR"/>
        </w:rPr>
        <w:t>.</w:t>
      </w:r>
      <w:r w:rsidRPr="00EF5D0A">
        <w:rPr>
          <w:u w:val="single"/>
          <w:lang w:val="hr-HR"/>
        </w:rPr>
        <w:t xml:space="preserve">A </w:t>
      </w:r>
      <w:r w:rsidR="00C60127">
        <w:rPr>
          <w:u w:val="single"/>
          <w:lang w:val="hr-HR"/>
        </w:rPr>
        <w:t>MSFI-ja</w:t>
      </w:r>
      <w:r w:rsidRPr="00EF5D0A">
        <w:rPr>
          <w:u w:val="single"/>
          <w:lang w:val="hr-HR"/>
        </w:rPr>
        <w:t xml:space="preserve"> 9)</w:t>
      </w:r>
      <w:r w:rsidR="00F07D2C">
        <w:rPr>
          <w:u w:val="single"/>
          <w:lang w:val="hr-HR"/>
        </w:rPr>
        <w:t xml:space="preserve"> </w:t>
      </w:r>
      <w:r w:rsidR="00C60127">
        <w:rPr>
          <w:u w:val="single"/>
          <w:lang w:val="hr-HR"/>
        </w:rPr>
        <w:t xml:space="preserve">i </w:t>
      </w:r>
    </w:p>
    <w:p w14:paraId="1EF3D424" w14:textId="2FA21784" w:rsidR="00014FB0" w:rsidRPr="00EF5D0A" w:rsidRDefault="001C3CBD">
      <w:pPr>
        <w:pStyle w:val="IASBNormalnparaL2"/>
        <w:rPr>
          <w:lang w:val="hr-HR"/>
        </w:rPr>
      </w:pPr>
      <w:r w:rsidRPr="00EF5D0A">
        <w:rPr>
          <w:u w:val="single"/>
          <w:lang w:val="hr-HR"/>
        </w:rPr>
        <w:t>(ii)</w:t>
      </w:r>
      <w:r w:rsidRPr="00EF5D0A">
        <w:rPr>
          <w:lang w:val="hr-HR"/>
        </w:rPr>
        <w:tab/>
      </w:r>
      <w:r w:rsidR="00C60127">
        <w:rPr>
          <w:u w:val="single"/>
          <w:lang w:val="hr-HR"/>
        </w:rPr>
        <w:t xml:space="preserve">riziku da će morati nabaviti električnu energiju u </w:t>
      </w:r>
      <w:r w:rsidR="00430FBB">
        <w:rPr>
          <w:u w:val="single"/>
          <w:lang w:val="hr-HR"/>
        </w:rPr>
        <w:t>intervalu</w:t>
      </w:r>
      <w:r w:rsidR="00C60127">
        <w:rPr>
          <w:u w:val="single"/>
          <w:lang w:val="hr-HR"/>
        </w:rPr>
        <w:t xml:space="preserve"> isporuke u kojem je ne može utrošiti </w:t>
      </w:r>
      <w:r w:rsidRPr="00EF5D0A">
        <w:rPr>
          <w:u w:val="single"/>
          <w:lang w:val="hr-HR"/>
        </w:rPr>
        <w:t>(</w:t>
      </w:r>
      <w:r w:rsidR="00C60127">
        <w:rPr>
          <w:u w:val="single"/>
          <w:lang w:val="hr-HR"/>
        </w:rPr>
        <w:t xml:space="preserve">vidjeti tačku </w:t>
      </w:r>
      <w:r w:rsidRPr="00EF5D0A">
        <w:rPr>
          <w:u w:val="single"/>
          <w:lang w:val="hr-HR"/>
        </w:rPr>
        <w:t xml:space="preserve">B2.7 </w:t>
      </w:r>
      <w:r w:rsidR="00C60127">
        <w:rPr>
          <w:u w:val="single"/>
          <w:lang w:val="hr-HR"/>
        </w:rPr>
        <w:t>MSFI-ja</w:t>
      </w:r>
      <w:r w:rsidRPr="00EF5D0A">
        <w:rPr>
          <w:u w:val="single"/>
          <w:lang w:val="hr-HR"/>
        </w:rPr>
        <w:t xml:space="preserve"> 9)</w:t>
      </w:r>
      <w:r w:rsidR="00C60127">
        <w:rPr>
          <w:u w:val="single"/>
          <w:lang w:val="hr-HR"/>
        </w:rPr>
        <w:t xml:space="preserve">; </w:t>
      </w:r>
    </w:p>
    <w:p w14:paraId="0B1E2A7E" w14:textId="57D61732" w:rsidR="00014FB0" w:rsidRPr="00EF5D0A" w:rsidRDefault="001C3CBD">
      <w:pPr>
        <w:pStyle w:val="IASBNormalnparaL1"/>
        <w:rPr>
          <w:lang w:val="hr-HR"/>
        </w:rPr>
      </w:pPr>
      <w:r w:rsidRPr="00EF5D0A">
        <w:rPr>
          <w:u w:val="single"/>
          <w:lang w:val="hr-HR"/>
        </w:rPr>
        <w:t>(b)</w:t>
      </w:r>
      <w:r w:rsidRPr="00EF5D0A">
        <w:rPr>
          <w:lang w:val="hr-HR"/>
        </w:rPr>
        <w:tab/>
      </w:r>
      <w:r w:rsidRPr="00EF5D0A">
        <w:rPr>
          <w:u w:val="single"/>
          <w:lang w:val="hr-HR"/>
        </w:rPr>
        <w:t>in</w:t>
      </w:r>
      <w:r w:rsidR="00C60127">
        <w:rPr>
          <w:u w:val="single"/>
          <w:lang w:val="hr-HR"/>
        </w:rPr>
        <w:t>formacije o nepriznatim preuzetim obavezama koje pr</w:t>
      </w:r>
      <w:r w:rsidR="00BE3B7A">
        <w:rPr>
          <w:u w:val="single"/>
          <w:lang w:val="hr-HR"/>
        </w:rPr>
        <w:t>oističu iz takvih ugov</w:t>
      </w:r>
      <w:r w:rsidR="0057372D">
        <w:rPr>
          <w:u w:val="single"/>
          <w:lang w:val="hr-HR"/>
        </w:rPr>
        <w:t>o</w:t>
      </w:r>
      <w:r w:rsidR="00BE3B7A">
        <w:rPr>
          <w:u w:val="single"/>
          <w:lang w:val="hr-HR"/>
        </w:rPr>
        <w:t>ra sa stanjem na datum izvještavanja, uključujući</w:t>
      </w:r>
    </w:p>
    <w:p w14:paraId="1F50ED35" w14:textId="5F237E5F" w:rsidR="00014FB0" w:rsidRPr="00EF5D0A" w:rsidRDefault="001C3CBD">
      <w:pPr>
        <w:pStyle w:val="IASBNormalnparaL2"/>
        <w:rPr>
          <w:lang w:val="hr-HR"/>
        </w:rPr>
      </w:pPr>
      <w:r w:rsidRPr="00EF5D0A">
        <w:rPr>
          <w:u w:val="single"/>
          <w:lang w:val="hr-HR"/>
        </w:rPr>
        <w:t>(i)</w:t>
      </w:r>
      <w:r w:rsidRPr="00EF5D0A">
        <w:rPr>
          <w:lang w:val="hr-HR"/>
        </w:rPr>
        <w:tab/>
      </w:r>
      <w:r w:rsidR="00BE3B7A">
        <w:rPr>
          <w:u w:val="single"/>
          <w:lang w:val="hr-HR"/>
        </w:rPr>
        <w:t xml:space="preserve">procijenjene buduće novčane tokove od nabavke električne energije prema tim ugovorima. Subjekt se </w:t>
      </w:r>
      <w:r w:rsidR="00A94CC5">
        <w:rPr>
          <w:u w:val="single"/>
          <w:lang w:val="hr-HR"/>
        </w:rPr>
        <w:t xml:space="preserve">treba </w:t>
      </w:r>
      <w:r w:rsidR="00BE3B7A">
        <w:rPr>
          <w:u w:val="single"/>
          <w:lang w:val="hr-HR"/>
        </w:rPr>
        <w:t>služi</w:t>
      </w:r>
      <w:r w:rsidR="00A94CC5">
        <w:rPr>
          <w:u w:val="single"/>
          <w:lang w:val="hr-HR"/>
        </w:rPr>
        <w:t>ti</w:t>
      </w:r>
      <w:r w:rsidR="00BE3B7A">
        <w:rPr>
          <w:u w:val="single"/>
          <w:lang w:val="hr-HR"/>
        </w:rPr>
        <w:t xml:space="preserve"> vlastitim rasuđivanjem kod određivanja odgovarajućih </w:t>
      </w:r>
      <w:r w:rsidR="00A94CC5">
        <w:rPr>
          <w:u w:val="single"/>
          <w:lang w:val="hr-HR"/>
        </w:rPr>
        <w:t>vremenskih raspona</w:t>
      </w:r>
      <w:r w:rsidR="00BE3B7A">
        <w:rPr>
          <w:u w:val="single"/>
          <w:lang w:val="hr-HR"/>
        </w:rPr>
        <w:t xml:space="preserve"> u okviru kojih treba objaviti procijenjene buduće novčane tokove; </w:t>
      </w:r>
    </w:p>
    <w:p w14:paraId="7EA8BE07" w14:textId="396771F9" w:rsidR="00014FB0" w:rsidRPr="00EF5D0A" w:rsidRDefault="001C3CBD">
      <w:pPr>
        <w:pStyle w:val="IASBNormalnparaL2"/>
        <w:rPr>
          <w:lang w:val="hr-HR"/>
        </w:rPr>
      </w:pPr>
      <w:r w:rsidRPr="00EF5D0A">
        <w:rPr>
          <w:u w:val="single"/>
          <w:lang w:val="hr-HR"/>
        </w:rPr>
        <w:t>(ii)</w:t>
      </w:r>
      <w:r w:rsidRPr="00EF5D0A">
        <w:rPr>
          <w:lang w:val="hr-HR"/>
        </w:rPr>
        <w:tab/>
      </w:r>
      <w:r w:rsidR="00BE3B7A">
        <w:rPr>
          <w:u w:val="single"/>
          <w:lang w:val="hr-HR"/>
        </w:rPr>
        <w:t xml:space="preserve">kvalitativne informacije o tome na koji način subjekt procjenjuje da li bi neki ugovor mogao </w:t>
      </w:r>
      <w:r w:rsidR="00A94CC5">
        <w:rPr>
          <w:u w:val="single"/>
          <w:lang w:val="hr-HR"/>
        </w:rPr>
        <w:t xml:space="preserve">postati </w:t>
      </w:r>
      <w:r w:rsidR="00BE3B7A">
        <w:rPr>
          <w:u w:val="single"/>
          <w:lang w:val="hr-HR"/>
        </w:rPr>
        <w:t xml:space="preserve">štetan </w:t>
      </w:r>
      <w:r w:rsidRPr="00EF5D0A">
        <w:rPr>
          <w:u w:val="single"/>
          <w:lang w:val="hr-HR"/>
        </w:rPr>
        <w:t>(</w:t>
      </w:r>
      <w:r w:rsidR="00BE3B7A">
        <w:rPr>
          <w:u w:val="single"/>
          <w:lang w:val="hr-HR"/>
        </w:rPr>
        <w:t>vidjeti</w:t>
      </w:r>
      <w:r w:rsidRPr="00EF5D0A">
        <w:rPr>
          <w:u w:val="single"/>
          <w:lang w:val="hr-HR"/>
        </w:rPr>
        <w:t xml:space="preserve"> </w:t>
      </w:r>
      <w:r w:rsidR="00BE3B7A">
        <w:rPr>
          <w:u w:val="single"/>
          <w:lang w:val="hr-HR"/>
        </w:rPr>
        <w:t>MRS</w:t>
      </w:r>
      <w:r w:rsidRPr="00EF5D0A">
        <w:rPr>
          <w:u w:val="single"/>
          <w:lang w:val="hr-HR"/>
        </w:rPr>
        <w:t xml:space="preserve"> 37 </w:t>
      </w:r>
      <w:r w:rsidR="00BE3B7A">
        <w:rPr>
          <w:i/>
          <w:u w:val="single"/>
          <w:lang w:val="hr-HR"/>
        </w:rPr>
        <w:t>Rezervisanja, potencijalne obaveze i potencijalna imovina</w:t>
      </w:r>
      <w:r w:rsidRPr="00EF5D0A">
        <w:rPr>
          <w:u w:val="single"/>
          <w:lang w:val="hr-HR"/>
        </w:rPr>
        <w:t xml:space="preserve">), </w:t>
      </w:r>
      <w:r w:rsidR="00BE3B7A">
        <w:rPr>
          <w:u w:val="single"/>
          <w:lang w:val="hr-HR"/>
        </w:rPr>
        <w:t xml:space="preserve">uključujući pretpostavke koje koristi kod tih procjena; </w:t>
      </w:r>
    </w:p>
    <w:p w14:paraId="2A8F0017" w14:textId="3D9D1193" w:rsidR="00014FB0" w:rsidRPr="00EF5D0A" w:rsidRDefault="001C3CBD">
      <w:pPr>
        <w:pStyle w:val="IASBNormalnparaL1"/>
        <w:rPr>
          <w:lang w:val="hr-HR"/>
        </w:rPr>
      </w:pPr>
      <w:r w:rsidRPr="00EF5D0A">
        <w:rPr>
          <w:u w:val="single"/>
          <w:lang w:val="hr-HR"/>
        </w:rPr>
        <w:lastRenderedPageBreak/>
        <w:t>(c)</w:t>
      </w:r>
      <w:r w:rsidRPr="00EF5D0A">
        <w:rPr>
          <w:lang w:val="hr-HR"/>
        </w:rPr>
        <w:tab/>
      </w:r>
      <w:r w:rsidR="00BE3B7A">
        <w:rPr>
          <w:u w:val="single"/>
          <w:lang w:val="hr-HR"/>
        </w:rPr>
        <w:t>kvalitativne i kvantitativne informacije o efektima na finansijsk</w:t>
      </w:r>
      <w:r w:rsidR="00EB2AF8">
        <w:rPr>
          <w:u w:val="single"/>
          <w:lang w:val="hr-HR"/>
        </w:rPr>
        <w:t>u</w:t>
      </w:r>
      <w:r w:rsidR="00BE3B7A">
        <w:rPr>
          <w:u w:val="single"/>
          <w:lang w:val="hr-HR"/>
        </w:rPr>
        <w:t xml:space="preserve"> </w:t>
      </w:r>
      <w:r w:rsidR="00EB2AF8">
        <w:rPr>
          <w:u w:val="single"/>
          <w:lang w:val="hr-HR"/>
        </w:rPr>
        <w:t>uspješnost</w:t>
      </w:r>
      <w:r w:rsidR="00BE3B7A">
        <w:rPr>
          <w:u w:val="single"/>
          <w:lang w:val="hr-HR"/>
        </w:rPr>
        <w:t xml:space="preserve"> subjekta u izvještajnom periodu. Ovo objavljivanje se zasniva na informacijama koje se odnose na izvještajni period koji je subjekt koristio kod procjene toga da li je bio neto kupac električne energije (vidjeti tačku </w:t>
      </w:r>
      <w:r w:rsidRPr="00EF5D0A">
        <w:rPr>
          <w:u w:val="single"/>
          <w:lang w:val="hr-HR"/>
        </w:rPr>
        <w:t xml:space="preserve">B2.8 </w:t>
      </w:r>
      <w:r w:rsidR="00BE3B7A">
        <w:rPr>
          <w:u w:val="single"/>
          <w:lang w:val="hr-HR"/>
        </w:rPr>
        <w:t>MSFI-ja</w:t>
      </w:r>
      <w:r w:rsidRPr="00EF5D0A">
        <w:rPr>
          <w:u w:val="single"/>
          <w:lang w:val="hr-HR"/>
        </w:rPr>
        <w:t xml:space="preserve"> 9). </w:t>
      </w:r>
      <w:r w:rsidR="00BE3B7A">
        <w:rPr>
          <w:u w:val="single"/>
          <w:lang w:val="hr-HR"/>
        </w:rPr>
        <w:t>Subjekt treba objaviti informacije za izvještajni period o</w:t>
      </w:r>
    </w:p>
    <w:p w14:paraId="4B033B69" w14:textId="74FF6326" w:rsidR="00014FB0" w:rsidRPr="00EF5D0A" w:rsidRDefault="001C3CBD">
      <w:pPr>
        <w:pStyle w:val="IASBNormalnparaL2"/>
        <w:rPr>
          <w:lang w:val="hr-HR"/>
        </w:rPr>
      </w:pPr>
      <w:r w:rsidRPr="00EF5D0A">
        <w:rPr>
          <w:u w:val="single"/>
          <w:lang w:val="hr-HR"/>
        </w:rPr>
        <w:t>(i)</w:t>
      </w:r>
      <w:r w:rsidRPr="00EF5D0A">
        <w:rPr>
          <w:lang w:val="hr-HR"/>
        </w:rPr>
        <w:tab/>
      </w:r>
      <w:r w:rsidRPr="00EF5D0A">
        <w:rPr>
          <w:u w:val="single"/>
          <w:lang w:val="hr-HR"/>
        </w:rPr>
        <w:t>t</w:t>
      </w:r>
      <w:r w:rsidR="00BE3B7A">
        <w:rPr>
          <w:u w:val="single"/>
          <w:lang w:val="hr-HR"/>
        </w:rPr>
        <w:t>roškovima proisteklim iz nabavki električne energije koje su izvršene prema ugovoru, pri tome razdvajajući informacije o količin</w:t>
      </w:r>
      <w:r w:rsidR="006062B9">
        <w:rPr>
          <w:u w:val="single"/>
          <w:lang w:val="hr-HR"/>
        </w:rPr>
        <w:t>ama</w:t>
      </w:r>
      <w:r w:rsidR="00BE3B7A">
        <w:rPr>
          <w:u w:val="single"/>
          <w:lang w:val="hr-HR"/>
        </w:rPr>
        <w:t xml:space="preserve"> nabavljene električne energije koj</w:t>
      </w:r>
      <w:r w:rsidR="006062B9">
        <w:rPr>
          <w:u w:val="single"/>
          <w:lang w:val="hr-HR"/>
        </w:rPr>
        <w:t>e</w:t>
      </w:r>
      <w:r w:rsidR="00BE3B7A">
        <w:rPr>
          <w:u w:val="single"/>
          <w:lang w:val="hr-HR"/>
        </w:rPr>
        <w:t xml:space="preserve"> </w:t>
      </w:r>
      <w:r w:rsidR="006062B9">
        <w:rPr>
          <w:u w:val="single"/>
          <w:lang w:val="hr-HR"/>
        </w:rPr>
        <w:t>su bile neutrošene</w:t>
      </w:r>
      <w:r w:rsidR="00BE3B7A">
        <w:rPr>
          <w:u w:val="single"/>
          <w:lang w:val="hr-HR"/>
        </w:rPr>
        <w:t xml:space="preserve"> u trenutku </w:t>
      </w:r>
      <w:r w:rsidR="00CC1542">
        <w:rPr>
          <w:u w:val="single"/>
          <w:lang w:val="hr-HR"/>
        </w:rPr>
        <w:t>isporuke</w:t>
      </w:r>
      <w:r w:rsidR="00BE3B7A">
        <w:rPr>
          <w:u w:val="single"/>
          <w:lang w:val="hr-HR"/>
        </w:rPr>
        <w:t xml:space="preserve">; </w:t>
      </w:r>
    </w:p>
    <w:p w14:paraId="560B08CE" w14:textId="7D09AB6D" w:rsidR="00014FB0" w:rsidRPr="00EF5D0A" w:rsidRDefault="001C3CBD">
      <w:pPr>
        <w:pStyle w:val="IASBNormalnparaL2"/>
        <w:rPr>
          <w:lang w:val="hr-HR"/>
        </w:rPr>
      </w:pPr>
      <w:r w:rsidRPr="00EF5D0A">
        <w:rPr>
          <w:u w:val="single"/>
          <w:lang w:val="hr-HR"/>
        </w:rPr>
        <w:t>(ii)</w:t>
      </w:r>
      <w:r w:rsidRPr="00EF5D0A">
        <w:rPr>
          <w:lang w:val="hr-HR"/>
        </w:rPr>
        <w:tab/>
      </w:r>
      <w:r w:rsidR="00BE3B7A">
        <w:rPr>
          <w:u w:val="single"/>
          <w:lang w:val="hr-HR"/>
        </w:rPr>
        <w:t xml:space="preserve">prinosima od prodaje neutrošene električne energije; i </w:t>
      </w:r>
    </w:p>
    <w:p w14:paraId="005DA2A1" w14:textId="1780F805" w:rsidR="00014FB0" w:rsidRPr="00EF5D0A" w:rsidRDefault="001C3CBD">
      <w:pPr>
        <w:pStyle w:val="IASBNormalnparaL2"/>
        <w:rPr>
          <w:lang w:val="hr-HR"/>
        </w:rPr>
      </w:pPr>
      <w:r w:rsidRPr="00EF5D0A">
        <w:rPr>
          <w:u w:val="single"/>
          <w:lang w:val="hr-HR"/>
        </w:rPr>
        <w:t>(iii)</w:t>
      </w:r>
      <w:r w:rsidRPr="00EF5D0A">
        <w:rPr>
          <w:lang w:val="hr-HR"/>
        </w:rPr>
        <w:tab/>
      </w:r>
      <w:r w:rsidR="00BE3B7A">
        <w:rPr>
          <w:u w:val="single"/>
          <w:lang w:val="hr-HR"/>
        </w:rPr>
        <w:t xml:space="preserve">troškovima proisteklim iz nabavki električne energije koje su izvršene u funkciji </w:t>
      </w:r>
      <w:r w:rsidR="00A67E98">
        <w:rPr>
          <w:u w:val="single"/>
          <w:lang w:val="hr-HR"/>
        </w:rPr>
        <w:t>poravnanja</w:t>
      </w:r>
      <w:r w:rsidR="00BE3B7A">
        <w:rPr>
          <w:u w:val="single"/>
          <w:lang w:val="hr-HR"/>
        </w:rPr>
        <w:t xml:space="preserve"> prodaje neutrošene električne energije</w:t>
      </w:r>
      <w:r w:rsidRPr="00EF5D0A">
        <w:rPr>
          <w:u w:val="single"/>
          <w:lang w:val="hr-HR"/>
        </w:rPr>
        <w:t>.</w:t>
      </w:r>
    </w:p>
    <w:p w14:paraId="23349B29" w14:textId="180954D2" w:rsidR="00014FB0" w:rsidRPr="00EF5D0A" w:rsidRDefault="001C3CBD">
      <w:pPr>
        <w:pStyle w:val="IASBNormalnpara"/>
        <w:rPr>
          <w:lang w:val="hr-HR"/>
        </w:rPr>
      </w:pPr>
      <w:r w:rsidRPr="00EF5D0A">
        <w:rPr>
          <w:u w:val="single"/>
          <w:lang w:val="hr-HR"/>
        </w:rPr>
        <w:t>30</w:t>
      </w:r>
      <w:r w:rsidR="00BE3B7A">
        <w:rPr>
          <w:u w:val="single"/>
          <w:lang w:val="hr-HR"/>
        </w:rPr>
        <w:t>.</w:t>
      </w:r>
      <w:r w:rsidRPr="00EF5D0A">
        <w:rPr>
          <w:u w:val="single"/>
          <w:lang w:val="hr-HR"/>
        </w:rPr>
        <w:t>B</w:t>
      </w:r>
      <w:r w:rsidRPr="00EF5D0A">
        <w:rPr>
          <w:lang w:val="hr-HR"/>
        </w:rPr>
        <w:tab/>
      </w:r>
      <w:r w:rsidR="00BE3B7A">
        <w:rPr>
          <w:u w:val="single"/>
          <w:lang w:val="hr-HR"/>
        </w:rPr>
        <w:t xml:space="preserve">Subjekt, u odnosu na svoje ugovore koji zadovoljavaju kriterije iz tačke </w:t>
      </w:r>
      <w:r w:rsidRPr="00EF5D0A">
        <w:rPr>
          <w:u w:val="single"/>
          <w:lang w:val="hr-HR"/>
        </w:rPr>
        <w:t>5</w:t>
      </w:r>
      <w:r w:rsidR="00BE3B7A">
        <w:rPr>
          <w:u w:val="single"/>
          <w:lang w:val="hr-HR"/>
        </w:rPr>
        <w:t>.</w:t>
      </w:r>
      <w:r w:rsidRPr="00EF5D0A">
        <w:rPr>
          <w:u w:val="single"/>
          <w:lang w:val="hr-HR"/>
        </w:rPr>
        <w:t xml:space="preserve">C, </w:t>
      </w:r>
      <w:r w:rsidR="00BE3B7A">
        <w:rPr>
          <w:u w:val="single"/>
          <w:lang w:val="hr-HR"/>
        </w:rPr>
        <w:t>informacije o uslovima i odredbama instrumenata zaštite koje objavljuje u skladu sa tačkom 23.A treba razdvojiti prema kategorijama rizika</w:t>
      </w:r>
      <w:r w:rsidRPr="00EF5D0A">
        <w:rPr>
          <w:u w:val="single"/>
          <w:lang w:val="hr-HR"/>
        </w:rPr>
        <w:t>.</w:t>
      </w:r>
    </w:p>
    <w:p w14:paraId="34312EDE" w14:textId="70CFD59B" w:rsidR="00014FB0" w:rsidRPr="00EF5D0A" w:rsidRDefault="001C3CBD">
      <w:pPr>
        <w:pStyle w:val="IASBNormalnpara"/>
        <w:rPr>
          <w:lang w:val="hr-HR"/>
        </w:rPr>
      </w:pPr>
      <w:r w:rsidRPr="00EF5D0A">
        <w:rPr>
          <w:u w:val="single"/>
          <w:lang w:val="hr-HR"/>
        </w:rPr>
        <w:t>30</w:t>
      </w:r>
      <w:r w:rsidR="00BE3B7A">
        <w:rPr>
          <w:u w:val="single"/>
          <w:lang w:val="hr-HR"/>
        </w:rPr>
        <w:t>.</w:t>
      </w:r>
      <w:r w:rsidRPr="00EF5D0A">
        <w:rPr>
          <w:u w:val="single"/>
          <w:lang w:val="hr-HR"/>
        </w:rPr>
        <w:t>C</w:t>
      </w:r>
      <w:r w:rsidRPr="00EF5D0A">
        <w:rPr>
          <w:lang w:val="hr-HR"/>
        </w:rPr>
        <w:tab/>
      </w:r>
      <w:r w:rsidR="00D57DB9">
        <w:rPr>
          <w:u w:val="single"/>
          <w:lang w:val="hr-HR"/>
        </w:rPr>
        <w:t xml:space="preserve">Ako objavi informacije o drugim ugovorima </w:t>
      </w:r>
      <w:r w:rsidR="00430FBB">
        <w:rPr>
          <w:u w:val="single"/>
          <w:lang w:val="hr-HR"/>
        </w:rPr>
        <w:t xml:space="preserve">o </w:t>
      </w:r>
      <w:r w:rsidR="00D57DB9">
        <w:rPr>
          <w:u w:val="single"/>
          <w:lang w:val="hr-HR"/>
        </w:rPr>
        <w:t>električn</w:t>
      </w:r>
      <w:r w:rsidR="00430FBB">
        <w:rPr>
          <w:u w:val="single"/>
          <w:lang w:val="hr-HR"/>
        </w:rPr>
        <w:t>oj</w:t>
      </w:r>
      <w:r w:rsidR="00D57DB9">
        <w:rPr>
          <w:u w:val="single"/>
          <w:lang w:val="hr-HR"/>
        </w:rPr>
        <w:t xml:space="preserve"> energij</w:t>
      </w:r>
      <w:r w:rsidR="00430FBB">
        <w:rPr>
          <w:u w:val="single"/>
          <w:lang w:val="hr-HR"/>
        </w:rPr>
        <w:t>i</w:t>
      </w:r>
      <w:r w:rsidR="00D57DB9">
        <w:rPr>
          <w:u w:val="single"/>
          <w:lang w:val="hr-HR"/>
        </w:rPr>
        <w:t xml:space="preserve"> iz </w:t>
      </w:r>
      <w:r w:rsidR="00430FBB">
        <w:rPr>
          <w:u w:val="single"/>
          <w:lang w:val="hr-HR"/>
        </w:rPr>
        <w:t xml:space="preserve">izvora zavisnih od </w:t>
      </w:r>
      <w:r w:rsidR="00D57DB9">
        <w:rPr>
          <w:u w:val="single"/>
          <w:lang w:val="hr-HR"/>
        </w:rPr>
        <w:t xml:space="preserve">prirodnih </w:t>
      </w:r>
      <w:r w:rsidR="00430FBB">
        <w:rPr>
          <w:u w:val="single"/>
          <w:lang w:val="hr-HR"/>
        </w:rPr>
        <w:t>uslova</w:t>
      </w:r>
      <w:r w:rsidR="00D57DB9">
        <w:rPr>
          <w:u w:val="single"/>
          <w:lang w:val="hr-HR"/>
        </w:rPr>
        <w:t xml:space="preserve"> kako </w:t>
      </w:r>
      <w:r w:rsidR="00430FBB">
        <w:rPr>
          <w:u w:val="single"/>
          <w:lang w:val="hr-HR"/>
        </w:rPr>
        <w:t xml:space="preserve">su </w:t>
      </w:r>
      <w:r w:rsidR="00D57DB9">
        <w:rPr>
          <w:u w:val="single"/>
          <w:lang w:val="hr-HR"/>
        </w:rPr>
        <w:t>opisan</w:t>
      </w:r>
      <w:r w:rsidR="00430FBB">
        <w:rPr>
          <w:u w:val="single"/>
          <w:lang w:val="hr-HR"/>
        </w:rPr>
        <w:t>i</w:t>
      </w:r>
      <w:r w:rsidR="00D57DB9">
        <w:rPr>
          <w:u w:val="single"/>
          <w:lang w:val="hr-HR"/>
        </w:rPr>
        <w:t xml:space="preserve"> u tački 5.D (uključujući ugovore </w:t>
      </w:r>
      <w:r w:rsidR="009C7871">
        <w:rPr>
          <w:u w:val="single"/>
          <w:lang w:val="hr-HR"/>
        </w:rPr>
        <w:t xml:space="preserve">iz tačke 30.B) u drugim bilješkama u sklopu svojih finansijskih izvještaja, subjekt je dužan u te bilješke uvrstiti unakrsno upućivanje na jedinstvenu bilješku koju nalaže tačka </w:t>
      </w:r>
      <w:r w:rsidRPr="00EF5D0A">
        <w:rPr>
          <w:u w:val="single"/>
          <w:lang w:val="hr-HR"/>
        </w:rPr>
        <w:t>30</w:t>
      </w:r>
      <w:r w:rsidR="009C7871">
        <w:rPr>
          <w:u w:val="single"/>
          <w:lang w:val="hr-HR"/>
        </w:rPr>
        <w:t>.</w:t>
      </w:r>
      <w:r w:rsidRPr="00EF5D0A">
        <w:rPr>
          <w:u w:val="single"/>
          <w:lang w:val="hr-HR"/>
        </w:rPr>
        <w:t>A.</w:t>
      </w:r>
    </w:p>
    <w:p w14:paraId="5DDFBAA3" w14:textId="77777777" w:rsidR="00014FB0" w:rsidRPr="00EF5D0A" w:rsidRDefault="001C3CBD">
      <w:pPr>
        <w:pStyle w:val="IASBNormalnpara"/>
        <w:rPr>
          <w:lang w:val="hr-HR"/>
        </w:rPr>
      </w:pPr>
      <w:r w:rsidRPr="00EF5D0A">
        <w:rPr>
          <w:lang w:val="hr-HR"/>
        </w:rPr>
        <w:tab/>
        <w:t>...</w:t>
      </w:r>
    </w:p>
    <w:p w14:paraId="6B07DDB2" w14:textId="77777777" w:rsidR="00014FB0" w:rsidRPr="00EF5D0A" w:rsidRDefault="00014FB0">
      <w:pPr>
        <w:pStyle w:val="SectionEnd"/>
        <w:rPr>
          <w:lang w:val="hr-HR"/>
        </w:rPr>
        <w:sectPr w:rsidR="00014FB0" w:rsidRPr="00EF5D0A">
          <w:headerReference w:type="even" r:id="rId22"/>
          <w:headerReference w:type="default" r:id="rId23"/>
          <w:footerReference w:type="even" r:id="rId24"/>
          <w:footerReference w:type="default" r:id="rId25"/>
          <w:pgSz w:w="11895" w:h="16834"/>
          <w:pgMar w:top="1440" w:right="1440" w:bottom="1440" w:left="1440" w:header="720" w:footer="720" w:gutter="0"/>
          <w:cols w:space="720"/>
        </w:sectPr>
      </w:pPr>
    </w:p>
    <w:p w14:paraId="27D0F7BE" w14:textId="176D3EC1" w:rsidR="00014FB0" w:rsidRPr="00EF5D0A" w:rsidRDefault="009C7871">
      <w:pPr>
        <w:pStyle w:val="IASBSectionTitle1NonInd"/>
        <w:rPr>
          <w:lang w:val="hr-HR"/>
        </w:rPr>
      </w:pPr>
      <w:bookmarkStart w:id="17" w:name="unique_29"/>
      <w:r>
        <w:rPr>
          <w:lang w:val="hr-HR"/>
        </w:rPr>
        <w:lastRenderedPageBreak/>
        <w:t>Datum stupanja na snagu i prijelazne odredbe</w:t>
      </w:r>
      <w:bookmarkEnd w:id="17"/>
    </w:p>
    <w:p w14:paraId="16BCF417" w14:textId="77777777" w:rsidR="00014FB0" w:rsidRPr="00EF5D0A" w:rsidRDefault="001C3CBD">
      <w:pPr>
        <w:pStyle w:val="IASBNormalnpara"/>
        <w:rPr>
          <w:lang w:val="hr-HR"/>
        </w:rPr>
      </w:pPr>
      <w:r w:rsidRPr="00EF5D0A">
        <w:rPr>
          <w:lang w:val="hr-HR"/>
        </w:rPr>
        <w:tab/>
        <w:t>...</w:t>
      </w:r>
    </w:p>
    <w:p w14:paraId="69ECD571" w14:textId="07FB7EA1" w:rsidR="00014FB0" w:rsidRPr="00EF5D0A" w:rsidRDefault="001C3CBD">
      <w:pPr>
        <w:pStyle w:val="IASBNormalnpara"/>
        <w:rPr>
          <w:lang w:val="hr-HR"/>
        </w:rPr>
      </w:pPr>
      <w:r w:rsidRPr="00EF5D0A">
        <w:rPr>
          <w:u w:val="single"/>
          <w:lang w:val="hr-HR"/>
        </w:rPr>
        <w:t>44</w:t>
      </w:r>
      <w:r w:rsidR="0014372C">
        <w:rPr>
          <w:u w:val="single"/>
          <w:lang w:val="hr-HR"/>
        </w:rPr>
        <w:t>.</w:t>
      </w:r>
      <w:r w:rsidRPr="00EF5D0A">
        <w:rPr>
          <w:u w:val="single"/>
          <w:lang w:val="hr-HR"/>
        </w:rPr>
        <w:t>OO</w:t>
      </w:r>
      <w:r w:rsidRPr="00EF5D0A">
        <w:rPr>
          <w:lang w:val="hr-HR"/>
        </w:rPr>
        <w:tab/>
      </w:r>
      <w:r w:rsidR="0014372C" w:rsidRPr="0014372C">
        <w:rPr>
          <w:u w:val="single"/>
          <w:lang w:val="hr-HR"/>
        </w:rPr>
        <w:t xml:space="preserve">Odredbama dokumenta </w:t>
      </w:r>
      <w:r w:rsidR="00DF65E9">
        <w:rPr>
          <w:i/>
          <w:u w:val="single"/>
          <w:lang w:val="hr-HR"/>
        </w:rPr>
        <w:t xml:space="preserve">Ugovori </w:t>
      </w:r>
      <w:r w:rsidR="00430FBB">
        <w:rPr>
          <w:i/>
          <w:u w:val="single"/>
          <w:lang w:val="hr-HR"/>
        </w:rPr>
        <w:t>o</w:t>
      </w:r>
      <w:r w:rsidR="00DF65E9">
        <w:rPr>
          <w:i/>
          <w:u w:val="single"/>
          <w:lang w:val="hr-HR"/>
        </w:rPr>
        <w:t xml:space="preserve"> električn</w:t>
      </w:r>
      <w:r w:rsidR="00430FBB">
        <w:rPr>
          <w:i/>
          <w:u w:val="single"/>
          <w:lang w:val="hr-HR"/>
        </w:rPr>
        <w:t>oj</w:t>
      </w:r>
      <w:r w:rsidR="00DF65E9">
        <w:rPr>
          <w:i/>
          <w:u w:val="single"/>
          <w:lang w:val="hr-HR"/>
        </w:rPr>
        <w:t xml:space="preserve"> energij</w:t>
      </w:r>
      <w:r w:rsidR="00430FBB">
        <w:rPr>
          <w:i/>
          <w:u w:val="single"/>
          <w:lang w:val="hr-HR"/>
        </w:rPr>
        <w:t xml:space="preserve">i </w:t>
      </w:r>
      <w:r w:rsidR="00DF65E9">
        <w:rPr>
          <w:i/>
          <w:u w:val="single"/>
          <w:lang w:val="hr-HR"/>
        </w:rPr>
        <w:t>iz izvora zavisnih od prirodnih uslova</w:t>
      </w:r>
      <w:r w:rsidRPr="00EF5D0A">
        <w:rPr>
          <w:u w:val="single"/>
          <w:lang w:val="hr-HR"/>
        </w:rPr>
        <w:t>, i</w:t>
      </w:r>
      <w:r w:rsidR="0014372C">
        <w:rPr>
          <w:u w:val="single"/>
          <w:lang w:val="hr-HR"/>
        </w:rPr>
        <w:t>zdat</w:t>
      </w:r>
      <w:r w:rsidR="00430FBB">
        <w:rPr>
          <w:u w:val="single"/>
          <w:lang w:val="hr-HR"/>
        </w:rPr>
        <w:t>og</w:t>
      </w:r>
      <w:r w:rsidR="0014372C">
        <w:rPr>
          <w:u w:val="single"/>
          <w:lang w:val="hr-HR"/>
        </w:rPr>
        <w:t xml:space="preserve"> u decembru </w:t>
      </w:r>
      <w:r w:rsidRPr="00EF5D0A">
        <w:rPr>
          <w:u w:val="single"/>
          <w:lang w:val="hr-HR"/>
        </w:rPr>
        <w:t>2024</w:t>
      </w:r>
      <w:r w:rsidR="0014372C">
        <w:rPr>
          <w:u w:val="single"/>
          <w:lang w:val="hr-HR"/>
        </w:rPr>
        <w:t xml:space="preserve">. godine, kojim su </w:t>
      </w:r>
      <w:r w:rsidR="00430FBB">
        <w:rPr>
          <w:u w:val="single"/>
          <w:lang w:val="hr-HR"/>
        </w:rPr>
        <w:t xml:space="preserve">ujedno </w:t>
      </w:r>
      <w:r w:rsidR="0014372C">
        <w:rPr>
          <w:u w:val="single"/>
          <w:lang w:val="hr-HR"/>
        </w:rPr>
        <w:t>izvršene i izmjene i dopune MSFI-ja</w:t>
      </w:r>
      <w:r w:rsidRPr="00EF5D0A">
        <w:rPr>
          <w:u w:val="single"/>
          <w:lang w:val="hr-HR"/>
        </w:rPr>
        <w:t xml:space="preserve"> 9, </w:t>
      </w:r>
      <w:r w:rsidR="0014372C">
        <w:rPr>
          <w:u w:val="single"/>
          <w:lang w:val="hr-HR"/>
        </w:rPr>
        <w:t xml:space="preserve">uvedene su tačke od </w:t>
      </w:r>
      <w:r w:rsidRPr="00EF5D0A">
        <w:rPr>
          <w:u w:val="single"/>
          <w:lang w:val="hr-HR"/>
        </w:rPr>
        <w:t>5</w:t>
      </w:r>
      <w:r w:rsidR="0014372C">
        <w:rPr>
          <w:u w:val="single"/>
          <w:lang w:val="hr-HR"/>
        </w:rPr>
        <w:t>.</w:t>
      </w:r>
      <w:r w:rsidRPr="00EF5D0A">
        <w:rPr>
          <w:u w:val="single"/>
          <w:lang w:val="hr-HR"/>
        </w:rPr>
        <w:t>B</w:t>
      </w:r>
      <w:r w:rsidR="0014372C">
        <w:rPr>
          <w:u w:val="single"/>
          <w:lang w:val="hr-HR"/>
        </w:rPr>
        <w:t xml:space="preserve"> do </w:t>
      </w:r>
      <w:r w:rsidRPr="00EF5D0A">
        <w:rPr>
          <w:u w:val="single"/>
          <w:lang w:val="hr-HR"/>
        </w:rPr>
        <w:t>5</w:t>
      </w:r>
      <w:r w:rsidR="0014372C">
        <w:rPr>
          <w:u w:val="single"/>
          <w:lang w:val="hr-HR"/>
        </w:rPr>
        <w:t>.</w:t>
      </w:r>
      <w:r w:rsidRPr="00EF5D0A">
        <w:rPr>
          <w:u w:val="single"/>
          <w:lang w:val="hr-HR"/>
        </w:rPr>
        <w:t xml:space="preserve">D, </w:t>
      </w:r>
      <w:r w:rsidR="0014372C">
        <w:rPr>
          <w:u w:val="single"/>
          <w:lang w:val="hr-HR"/>
        </w:rPr>
        <w:t xml:space="preserve">od </w:t>
      </w:r>
      <w:r w:rsidRPr="00EF5D0A">
        <w:rPr>
          <w:u w:val="single"/>
          <w:lang w:val="hr-HR"/>
        </w:rPr>
        <w:t>30</w:t>
      </w:r>
      <w:r w:rsidR="0014372C">
        <w:rPr>
          <w:u w:val="single"/>
          <w:lang w:val="hr-HR"/>
        </w:rPr>
        <w:t>.</w:t>
      </w:r>
      <w:r w:rsidRPr="00EF5D0A">
        <w:rPr>
          <w:u w:val="single"/>
          <w:lang w:val="hr-HR"/>
        </w:rPr>
        <w:t>A</w:t>
      </w:r>
      <w:r w:rsidR="0014372C">
        <w:rPr>
          <w:u w:val="single"/>
          <w:lang w:val="hr-HR"/>
        </w:rPr>
        <w:t xml:space="preserve"> do </w:t>
      </w:r>
      <w:r w:rsidRPr="00EF5D0A">
        <w:rPr>
          <w:u w:val="single"/>
          <w:lang w:val="hr-HR"/>
        </w:rPr>
        <w:t>30</w:t>
      </w:r>
      <w:r w:rsidR="006062B9">
        <w:rPr>
          <w:u w:val="single"/>
          <w:lang w:val="hr-HR"/>
        </w:rPr>
        <w:t>.</w:t>
      </w:r>
      <w:r w:rsidRPr="00EF5D0A">
        <w:rPr>
          <w:u w:val="single"/>
          <w:lang w:val="hr-HR"/>
        </w:rPr>
        <w:t xml:space="preserve">C </w:t>
      </w:r>
      <w:r w:rsidR="0014372C">
        <w:rPr>
          <w:u w:val="single"/>
          <w:lang w:val="hr-HR"/>
        </w:rPr>
        <w:t>i</w:t>
      </w:r>
      <w:r w:rsidRPr="00EF5D0A">
        <w:rPr>
          <w:u w:val="single"/>
          <w:lang w:val="hr-HR"/>
        </w:rPr>
        <w:t xml:space="preserve"> 44</w:t>
      </w:r>
      <w:r w:rsidR="0014372C">
        <w:rPr>
          <w:u w:val="single"/>
          <w:lang w:val="hr-HR"/>
        </w:rPr>
        <w:t>.</w:t>
      </w:r>
      <w:r w:rsidRPr="00EF5D0A">
        <w:rPr>
          <w:u w:val="single"/>
          <w:lang w:val="hr-HR"/>
        </w:rPr>
        <w:t xml:space="preserve">PP. </w:t>
      </w:r>
      <w:r w:rsidR="0014372C">
        <w:rPr>
          <w:u w:val="single"/>
          <w:lang w:val="hr-HR"/>
        </w:rPr>
        <w:t xml:space="preserve">Subjekt te </w:t>
      </w:r>
      <w:r w:rsidR="006062B9">
        <w:rPr>
          <w:u w:val="single"/>
          <w:lang w:val="hr-HR"/>
        </w:rPr>
        <w:t>tačke treba</w:t>
      </w:r>
      <w:r w:rsidR="0014372C">
        <w:rPr>
          <w:u w:val="single"/>
          <w:lang w:val="hr-HR"/>
        </w:rPr>
        <w:t xml:space="preserve"> primjenjivati kada primjenjuje izmjene i dopune MSFI-ja </w:t>
      </w:r>
      <w:r w:rsidRPr="00EF5D0A">
        <w:rPr>
          <w:u w:val="single"/>
          <w:lang w:val="hr-HR"/>
        </w:rPr>
        <w:t xml:space="preserve">9. </w:t>
      </w:r>
      <w:r w:rsidR="0014372C">
        <w:rPr>
          <w:u w:val="single"/>
          <w:lang w:val="hr-HR"/>
        </w:rPr>
        <w:t xml:space="preserve">Subjekt koji ne </w:t>
      </w:r>
      <w:r w:rsidR="006062B9">
        <w:rPr>
          <w:u w:val="single"/>
          <w:lang w:val="hr-HR"/>
        </w:rPr>
        <w:t>prepravi</w:t>
      </w:r>
      <w:r w:rsidR="0014372C">
        <w:rPr>
          <w:u w:val="single"/>
          <w:lang w:val="hr-HR"/>
        </w:rPr>
        <w:t xml:space="preserve"> up</w:t>
      </w:r>
      <w:r w:rsidR="006062B9">
        <w:rPr>
          <w:u w:val="single"/>
          <w:lang w:val="hr-HR"/>
        </w:rPr>
        <w:t>o</w:t>
      </w:r>
      <w:r w:rsidR="0014372C">
        <w:rPr>
          <w:u w:val="single"/>
          <w:lang w:val="hr-HR"/>
        </w:rPr>
        <w:t>redive informacije kada prvi put primijeni izmjene i dopune MSFI-ja 9 u skladu s</w:t>
      </w:r>
      <w:r w:rsidR="006062B9">
        <w:rPr>
          <w:u w:val="single"/>
          <w:lang w:val="hr-HR"/>
        </w:rPr>
        <w:t>a</w:t>
      </w:r>
      <w:r w:rsidR="0014372C">
        <w:rPr>
          <w:u w:val="single"/>
          <w:lang w:val="hr-HR"/>
        </w:rPr>
        <w:t xml:space="preserve"> tačkom </w:t>
      </w:r>
      <w:r w:rsidRPr="00EF5D0A">
        <w:rPr>
          <w:u w:val="single"/>
          <w:lang w:val="hr-HR"/>
        </w:rPr>
        <w:t xml:space="preserve">7.2.51 </w:t>
      </w:r>
      <w:r w:rsidR="0014372C">
        <w:rPr>
          <w:u w:val="single"/>
          <w:lang w:val="hr-HR"/>
        </w:rPr>
        <w:t xml:space="preserve">tog </w:t>
      </w:r>
      <w:r w:rsidR="006062B9">
        <w:rPr>
          <w:u w:val="single"/>
          <w:lang w:val="hr-HR"/>
        </w:rPr>
        <w:t>S</w:t>
      </w:r>
      <w:r w:rsidR="0014372C">
        <w:rPr>
          <w:u w:val="single"/>
          <w:lang w:val="hr-HR"/>
        </w:rPr>
        <w:t xml:space="preserve">tandarda ne treba davati uporedive informacije u odnosu na objavljivanja koja nalažu tačke od </w:t>
      </w:r>
      <w:r w:rsidRPr="00EF5D0A">
        <w:rPr>
          <w:u w:val="single"/>
          <w:lang w:val="hr-HR"/>
        </w:rPr>
        <w:t>30</w:t>
      </w:r>
      <w:r w:rsidR="0014372C">
        <w:rPr>
          <w:u w:val="single"/>
          <w:lang w:val="hr-HR"/>
        </w:rPr>
        <w:t>.</w:t>
      </w:r>
      <w:r w:rsidRPr="00EF5D0A">
        <w:rPr>
          <w:u w:val="single"/>
          <w:lang w:val="hr-HR"/>
        </w:rPr>
        <w:t>A</w:t>
      </w:r>
      <w:r w:rsidR="0014372C">
        <w:rPr>
          <w:u w:val="single"/>
          <w:lang w:val="hr-HR"/>
        </w:rPr>
        <w:t xml:space="preserve"> do </w:t>
      </w:r>
      <w:r w:rsidRPr="00EF5D0A">
        <w:rPr>
          <w:u w:val="single"/>
          <w:lang w:val="hr-HR"/>
        </w:rPr>
        <w:t>30</w:t>
      </w:r>
      <w:r w:rsidR="0014372C">
        <w:rPr>
          <w:u w:val="single"/>
          <w:lang w:val="hr-HR"/>
        </w:rPr>
        <w:t>.</w:t>
      </w:r>
      <w:r w:rsidRPr="00EF5D0A">
        <w:rPr>
          <w:u w:val="single"/>
          <w:lang w:val="hr-HR"/>
        </w:rPr>
        <w:t xml:space="preserve">C. </w:t>
      </w:r>
      <w:r w:rsidR="0014372C">
        <w:rPr>
          <w:u w:val="single"/>
          <w:lang w:val="hr-HR"/>
        </w:rPr>
        <w:t>Slično tome, subjekt koji prim</w:t>
      </w:r>
      <w:r w:rsidR="006062B9">
        <w:rPr>
          <w:u w:val="single"/>
          <w:lang w:val="hr-HR"/>
        </w:rPr>
        <w:t>ijeni</w:t>
      </w:r>
      <w:r w:rsidR="0014372C">
        <w:rPr>
          <w:u w:val="single"/>
          <w:lang w:val="hr-HR"/>
        </w:rPr>
        <w:t xml:space="preserve"> MSFI </w:t>
      </w:r>
      <w:r w:rsidRPr="00EF5D0A">
        <w:rPr>
          <w:u w:val="single"/>
          <w:lang w:val="hr-HR"/>
        </w:rPr>
        <w:t xml:space="preserve">19 </w:t>
      </w:r>
      <w:r w:rsidR="0014372C" w:rsidRPr="00430FBB">
        <w:rPr>
          <w:i/>
          <w:iCs/>
          <w:u w:val="single"/>
          <w:lang w:val="hr-HR"/>
        </w:rPr>
        <w:t>Zavisna društva bez javne odgovornosti:</w:t>
      </w:r>
      <w:r w:rsidR="007A6F02">
        <w:rPr>
          <w:i/>
          <w:iCs/>
          <w:u w:val="single"/>
          <w:lang w:val="hr-HR"/>
        </w:rPr>
        <w:t xml:space="preserve"> </w:t>
      </w:r>
      <w:r w:rsidR="0014372C" w:rsidRPr="00430FBB">
        <w:rPr>
          <w:i/>
          <w:iCs/>
          <w:u w:val="single"/>
          <w:lang w:val="hr-HR"/>
        </w:rPr>
        <w:t>Objavljivanja</w:t>
      </w:r>
      <w:r w:rsidRPr="00EF5D0A">
        <w:rPr>
          <w:u w:val="single"/>
          <w:lang w:val="hr-HR"/>
        </w:rPr>
        <w:t xml:space="preserve"> </w:t>
      </w:r>
      <w:r w:rsidR="0014372C">
        <w:rPr>
          <w:u w:val="single"/>
          <w:lang w:val="hr-HR"/>
        </w:rPr>
        <w:t xml:space="preserve">ne treba davati uporedive informacije u odnosu na objavljivanja koja nalažu tačke od </w:t>
      </w:r>
      <w:r w:rsidRPr="00EF5D0A">
        <w:rPr>
          <w:u w:val="single"/>
          <w:lang w:val="hr-HR"/>
        </w:rPr>
        <w:t>64</w:t>
      </w:r>
      <w:r w:rsidR="0014372C">
        <w:rPr>
          <w:u w:val="single"/>
          <w:lang w:val="hr-HR"/>
        </w:rPr>
        <w:t>.</w:t>
      </w:r>
      <w:r w:rsidRPr="00EF5D0A">
        <w:rPr>
          <w:u w:val="single"/>
          <w:lang w:val="hr-HR"/>
        </w:rPr>
        <w:t>A</w:t>
      </w:r>
      <w:r w:rsidR="0014372C">
        <w:rPr>
          <w:u w:val="single"/>
          <w:lang w:val="hr-HR"/>
        </w:rPr>
        <w:t xml:space="preserve"> do </w:t>
      </w:r>
      <w:r w:rsidRPr="00EF5D0A">
        <w:rPr>
          <w:u w:val="single"/>
          <w:lang w:val="hr-HR"/>
        </w:rPr>
        <w:t>64</w:t>
      </w:r>
      <w:r w:rsidR="0014372C">
        <w:rPr>
          <w:u w:val="single"/>
          <w:lang w:val="hr-HR"/>
        </w:rPr>
        <w:t>.</w:t>
      </w:r>
      <w:r w:rsidRPr="00EF5D0A">
        <w:rPr>
          <w:u w:val="single"/>
          <w:lang w:val="hr-HR"/>
        </w:rPr>
        <w:t>C.</w:t>
      </w:r>
    </w:p>
    <w:p w14:paraId="3DC54E01" w14:textId="2F70C3C4" w:rsidR="00014FB0" w:rsidRPr="00EF5D0A" w:rsidRDefault="001C3CBD">
      <w:pPr>
        <w:pStyle w:val="IASBNormalnpara"/>
        <w:rPr>
          <w:lang w:val="hr-HR"/>
        </w:rPr>
      </w:pPr>
      <w:r w:rsidRPr="00EF5D0A">
        <w:rPr>
          <w:u w:val="single"/>
          <w:lang w:val="hr-HR"/>
        </w:rPr>
        <w:t>44</w:t>
      </w:r>
      <w:r w:rsidR="00430FBB">
        <w:rPr>
          <w:u w:val="single"/>
          <w:lang w:val="hr-HR"/>
        </w:rPr>
        <w:t>.</w:t>
      </w:r>
      <w:r w:rsidRPr="00EF5D0A">
        <w:rPr>
          <w:u w:val="single"/>
          <w:lang w:val="hr-HR"/>
        </w:rPr>
        <w:t>PP</w:t>
      </w:r>
      <w:r w:rsidRPr="00EF5D0A">
        <w:rPr>
          <w:lang w:val="hr-HR"/>
        </w:rPr>
        <w:tab/>
      </w:r>
      <w:r w:rsidR="0014372C">
        <w:rPr>
          <w:u w:val="single"/>
          <w:lang w:val="hr-HR"/>
        </w:rPr>
        <w:t xml:space="preserve">U izvještajnom periodu u kojem prvi put primijeni odredbe dokumenta </w:t>
      </w:r>
      <w:r w:rsidR="00DF65E9">
        <w:rPr>
          <w:i/>
          <w:u w:val="single"/>
          <w:lang w:val="hr-HR"/>
        </w:rPr>
        <w:t xml:space="preserve">Ugovori </w:t>
      </w:r>
      <w:r w:rsidR="00430FBB">
        <w:rPr>
          <w:i/>
          <w:u w:val="single"/>
          <w:lang w:val="hr-HR"/>
        </w:rPr>
        <w:t>o</w:t>
      </w:r>
      <w:r w:rsidR="00DF65E9">
        <w:rPr>
          <w:i/>
          <w:u w:val="single"/>
          <w:lang w:val="hr-HR"/>
        </w:rPr>
        <w:t xml:space="preserve"> električn</w:t>
      </w:r>
      <w:r w:rsidR="00430FBB">
        <w:rPr>
          <w:i/>
          <w:u w:val="single"/>
          <w:lang w:val="hr-HR"/>
        </w:rPr>
        <w:t>oj</w:t>
      </w:r>
      <w:r w:rsidR="00DF65E9">
        <w:rPr>
          <w:i/>
          <w:u w:val="single"/>
          <w:lang w:val="hr-HR"/>
        </w:rPr>
        <w:t xml:space="preserve"> energij</w:t>
      </w:r>
      <w:r w:rsidR="00430FBB">
        <w:rPr>
          <w:i/>
          <w:u w:val="single"/>
          <w:lang w:val="hr-HR"/>
        </w:rPr>
        <w:t>i</w:t>
      </w:r>
      <w:r w:rsidR="00DF65E9">
        <w:rPr>
          <w:i/>
          <w:u w:val="single"/>
          <w:lang w:val="hr-HR"/>
        </w:rPr>
        <w:t xml:space="preserve"> iz izvora zavisnih od prirodnih uslova</w:t>
      </w:r>
      <w:r w:rsidRPr="00EF5D0A">
        <w:rPr>
          <w:u w:val="single"/>
          <w:lang w:val="hr-HR"/>
        </w:rPr>
        <w:t xml:space="preserve">, </w:t>
      </w:r>
      <w:r w:rsidR="0014372C">
        <w:rPr>
          <w:u w:val="single"/>
          <w:lang w:val="hr-HR"/>
        </w:rPr>
        <w:t xml:space="preserve">subjekt ne treba objavljivati kvantitativne informacije koje bi inače bile obavezne u skladu s podtačkom (f) tačke </w:t>
      </w:r>
      <w:r w:rsidRPr="00EF5D0A">
        <w:rPr>
          <w:u w:val="single"/>
          <w:lang w:val="hr-HR"/>
        </w:rPr>
        <w:t>28</w:t>
      </w:r>
      <w:r w:rsidR="0014372C">
        <w:rPr>
          <w:u w:val="single"/>
          <w:lang w:val="hr-HR"/>
        </w:rPr>
        <w:t>. MRS-a</w:t>
      </w:r>
      <w:r w:rsidRPr="00EF5D0A">
        <w:rPr>
          <w:u w:val="single"/>
          <w:lang w:val="hr-HR"/>
        </w:rPr>
        <w:t xml:space="preserve"> 8. S</w:t>
      </w:r>
      <w:r w:rsidR="0014372C">
        <w:rPr>
          <w:u w:val="single"/>
          <w:lang w:val="hr-HR"/>
        </w:rPr>
        <w:t>lično tome, subjekt koji primjenjuje MSFI 19 ne treba objavlji</w:t>
      </w:r>
      <w:r w:rsidR="00430FBB">
        <w:rPr>
          <w:u w:val="single"/>
          <w:lang w:val="hr-HR"/>
        </w:rPr>
        <w:t>v</w:t>
      </w:r>
      <w:r w:rsidR="0014372C">
        <w:rPr>
          <w:u w:val="single"/>
          <w:lang w:val="hr-HR"/>
        </w:rPr>
        <w:t xml:space="preserve">ati kvantitativne informacije koje bi inače bile obavezne prema podtački </w:t>
      </w:r>
      <w:r w:rsidRPr="00EF5D0A">
        <w:rPr>
          <w:u w:val="single"/>
          <w:lang w:val="hr-HR"/>
        </w:rPr>
        <w:t>(f)</w:t>
      </w:r>
      <w:r w:rsidR="0014372C">
        <w:rPr>
          <w:u w:val="single"/>
          <w:lang w:val="hr-HR"/>
        </w:rPr>
        <w:t xml:space="preserve"> tačke 178. MSFI-ja </w:t>
      </w:r>
      <w:r w:rsidRPr="00EF5D0A">
        <w:rPr>
          <w:u w:val="single"/>
          <w:lang w:val="hr-HR"/>
        </w:rPr>
        <w:t>19.</w:t>
      </w:r>
    </w:p>
    <w:p w14:paraId="554E632A" w14:textId="77777777" w:rsidR="00014FB0" w:rsidRPr="00EF5D0A" w:rsidRDefault="00014FB0">
      <w:pPr>
        <w:pStyle w:val="SectionEnd"/>
        <w:rPr>
          <w:lang w:val="hr-HR"/>
        </w:rPr>
        <w:sectPr w:rsidR="00014FB0" w:rsidRPr="00EF5D0A">
          <w:headerReference w:type="even" r:id="rId26"/>
          <w:headerReference w:type="default" r:id="rId27"/>
          <w:footerReference w:type="even" r:id="rId28"/>
          <w:footerReference w:type="default" r:id="rId29"/>
          <w:pgSz w:w="11895" w:h="16834"/>
          <w:pgMar w:top="1440" w:right="1440" w:bottom="1440" w:left="1440" w:header="720" w:footer="720" w:gutter="0"/>
          <w:cols w:space="720"/>
        </w:sectPr>
      </w:pPr>
    </w:p>
    <w:p w14:paraId="3B3F2431" w14:textId="2EE71532" w:rsidR="00014FB0" w:rsidRPr="00EF5D0A" w:rsidRDefault="0014372C" w:rsidP="002A65DB">
      <w:pPr>
        <w:pStyle w:val="IASBSectionTitle2NonInd"/>
        <w:spacing w:before="260"/>
        <w:rPr>
          <w:lang w:val="hr-HR"/>
        </w:rPr>
      </w:pPr>
      <w:bookmarkStart w:id="18" w:name="unique_8"/>
      <w:r>
        <w:rPr>
          <w:lang w:val="hr-HR"/>
        </w:rPr>
        <w:lastRenderedPageBreak/>
        <w:t>Dodat</w:t>
      </w:r>
      <w:r w:rsidR="00430FBB">
        <w:rPr>
          <w:lang w:val="hr-HR"/>
        </w:rPr>
        <w:t>a</w:t>
      </w:r>
      <w:r>
        <w:rPr>
          <w:lang w:val="hr-HR"/>
        </w:rPr>
        <w:t>k</w:t>
      </w:r>
      <w:r w:rsidR="00A408FC">
        <w:rPr>
          <w:lang w:val="hr-HR"/>
        </w:rPr>
        <w:t xml:space="preserve">: </w:t>
      </w:r>
      <w:r>
        <w:rPr>
          <w:lang w:val="hr-HR"/>
        </w:rPr>
        <w:t xml:space="preserve">Izmjene i dopune drugih IFRS računovodstvenih standarda </w:t>
      </w:r>
      <w:r w:rsidR="001C3CBD" w:rsidRPr="00EF5D0A">
        <w:rPr>
          <w:lang w:val="hr-HR"/>
        </w:rPr>
        <w:br/>
      </w:r>
      <w:r w:rsidR="001C3CBD" w:rsidRPr="00EF5D0A">
        <w:rPr>
          <w:lang w:val="hr-HR"/>
        </w:rPr>
        <w:br/>
      </w:r>
      <w:r>
        <w:rPr>
          <w:lang w:val="hr-HR"/>
        </w:rPr>
        <w:t>MSFI</w:t>
      </w:r>
      <w:r w:rsidR="001C3CBD" w:rsidRPr="00EF5D0A">
        <w:rPr>
          <w:lang w:val="hr-HR"/>
        </w:rPr>
        <w:t xml:space="preserve"> 19 </w:t>
      </w:r>
      <w:r>
        <w:rPr>
          <w:i/>
          <w:lang w:val="hr-HR"/>
        </w:rPr>
        <w:t xml:space="preserve">Zavisna društva bez javne odgovornosti: </w:t>
      </w:r>
      <w:bookmarkEnd w:id="18"/>
      <w:r>
        <w:rPr>
          <w:i/>
          <w:lang w:val="hr-HR"/>
        </w:rPr>
        <w:t xml:space="preserve">Objavljivanja </w:t>
      </w:r>
    </w:p>
    <w:p w14:paraId="005C2ECA" w14:textId="77777777" w:rsidR="00014FB0" w:rsidRPr="002A65DB" w:rsidRDefault="00014FB0">
      <w:pPr>
        <w:pStyle w:val="IASBNormalnpara"/>
        <w:rPr>
          <w:sz w:val="10"/>
          <w:szCs w:val="10"/>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014FB0" w:rsidRPr="00992611" w14:paraId="052925FE" w14:textId="77777777">
        <w:tc>
          <w:tcPr>
            <w:tcW w:w="50" w:type="pct"/>
            <w:tcBorders>
              <w:bottom w:val="single" w:sz="0" w:space="0" w:color="auto"/>
              <w:right w:val="single" w:sz="0" w:space="0" w:color="auto"/>
            </w:tcBorders>
          </w:tcPr>
          <w:p w14:paraId="6B7BBDB1" w14:textId="7BF07320" w:rsidR="00014FB0" w:rsidRPr="00EF5D0A" w:rsidRDefault="001E11D2">
            <w:pPr>
              <w:pStyle w:val="IASBTableArial"/>
              <w:rPr>
                <w:lang w:val="hr-HR"/>
              </w:rPr>
            </w:pPr>
            <w:r>
              <w:rPr>
                <w:lang w:val="hr-HR"/>
              </w:rPr>
              <w:t xml:space="preserve">Uvedene su </w:t>
            </w:r>
            <w:r w:rsidR="00992611">
              <w:rPr>
                <w:lang w:val="hr-HR"/>
              </w:rPr>
              <w:t>s</w:t>
            </w:r>
            <w:r w:rsidR="00CC1542">
              <w:rPr>
                <w:lang w:val="hr-HR"/>
              </w:rPr>
              <w:t xml:space="preserve">tavke </w:t>
            </w:r>
            <w:r>
              <w:rPr>
                <w:lang w:val="hr-HR"/>
              </w:rPr>
              <w:t xml:space="preserve">od </w:t>
            </w:r>
            <w:r w:rsidR="001C3CBD" w:rsidRPr="00EF5D0A">
              <w:rPr>
                <w:lang w:val="hr-HR"/>
              </w:rPr>
              <w:t>64A</w:t>
            </w:r>
            <w:r>
              <w:rPr>
                <w:lang w:val="hr-HR"/>
              </w:rPr>
              <w:t xml:space="preserve"> do </w:t>
            </w:r>
            <w:r w:rsidR="001C3CBD" w:rsidRPr="00EF5D0A">
              <w:rPr>
                <w:lang w:val="hr-HR"/>
              </w:rPr>
              <w:t>64C</w:t>
            </w:r>
            <w:r>
              <w:rPr>
                <w:lang w:val="hr-HR"/>
              </w:rPr>
              <w:t xml:space="preserve">, </w:t>
            </w:r>
            <w:r w:rsidR="00992611">
              <w:rPr>
                <w:lang w:val="hr-HR"/>
              </w:rPr>
              <w:t>stavka</w:t>
            </w:r>
            <w:r>
              <w:rPr>
                <w:lang w:val="hr-HR"/>
              </w:rPr>
              <w:t xml:space="preserve"> </w:t>
            </w:r>
            <w:r w:rsidR="001C3CBD" w:rsidRPr="00EF5D0A">
              <w:rPr>
                <w:lang w:val="hr-HR"/>
              </w:rPr>
              <w:t xml:space="preserve">A6 </w:t>
            </w:r>
            <w:r>
              <w:rPr>
                <w:lang w:val="hr-HR"/>
              </w:rPr>
              <w:t xml:space="preserve">i podnaslov ispred </w:t>
            </w:r>
            <w:r w:rsidR="00992611">
              <w:rPr>
                <w:lang w:val="hr-HR"/>
              </w:rPr>
              <w:t>stavke</w:t>
            </w:r>
            <w:r>
              <w:rPr>
                <w:lang w:val="hr-HR"/>
              </w:rPr>
              <w:t xml:space="preserve"> </w:t>
            </w:r>
            <w:r w:rsidR="001C3CBD" w:rsidRPr="00EF5D0A">
              <w:rPr>
                <w:lang w:val="hr-HR"/>
              </w:rPr>
              <w:t>64A</w:t>
            </w:r>
            <w:r>
              <w:rPr>
                <w:lang w:val="hr-HR"/>
              </w:rPr>
              <w:t xml:space="preserve">, te izvršene izmjene i dopune </w:t>
            </w:r>
            <w:r w:rsidR="00992611">
              <w:rPr>
                <w:lang w:val="hr-HR"/>
              </w:rPr>
              <w:t>stavke</w:t>
            </w:r>
            <w:r>
              <w:rPr>
                <w:lang w:val="hr-HR"/>
              </w:rPr>
              <w:t xml:space="preserve"> 42. Novi tekst je podvučen a brisani precrtan</w:t>
            </w:r>
            <w:r w:rsidR="001C3CBD" w:rsidRPr="00EF5D0A">
              <w:rPr>
                <w:lang w:val="hr-HR"/>
              </w:rPr>
              <w:t>.</w:t>
            </w:r>
          </w:p>
        </w:tc>
      </w:tr>
    </w:tbl>
    <w:p w14:paraId="16A33859" w14:textId="77777777" w:rsidR="00014FB0" w:rsidRPr="002A65DB" w:rsidRDefault="00014FB0">
      <w:pPr>
        <w:pStyle w:val="IASBNormalnpara"/>
        <w:rPr>
          <w:sz w:val="2"/>
          <w:szCs w:val="2"/>
          <w:lang w:val="hr-HR"/>
        </w:rPr>
      </w:pPr>
    </w:p>
    <w:p w14:paraId="0EB57538" w14:textId="39DB60E3" w:rsidR="00014FB0" w:rsidRPr="00EF5D0A" w:rsidRDefault="00A408FC">
      <w:pPr>
        <w:pStyle w:val="IASBSectionTitle1NonInd"/>
        <w:rPr>
          <w:lang w:val="hr-HR"/>
        </w:rPr>
      </w:pPr>
      <w:r>
        <w:rPr>
          <w:lang w:val="hr-HR"/>
        </w:rPr>
        <w:t xml:space="preserve">Uvjeti za </w:t>
      </w:r>
      <w:r w:rsidR="001E11D2">
        <w:rPr>
          <w:lang w:val="hr-HR"/>
        </w:rPr>
        <w:t>objavljivanj</w:t>
      </w:r>
      <w:r>
        <w:rPr>
          <w:lang w:val="hr-HR"/>
        </w:rPr>
        <w:t>e</w:t>
      </w:r>
      <w:r w:rsidR="001E11D2">
        <w:rPr>
          <w:lang w:val="hr-HR"/>
        </w:rPr>
        <w:t xml:space="preserve"> </w:t>
      </w:r>
    </w:p>
    <w:p w14:paraId="625E9260" w14:textId="77777777" w:rsidR="00014FB0" w:rsidRPr="00EF5D0A" w:rsidRDefault="001C3CBD">
      <w:pPr>
        <w:pStyle w:val="IASBNormalnpara"/>
        <w:rPr>
          <w:lang w:val="hr-HR"/>
        </w:rPr>
      </w:pPr>
      <w:r w:rsidRPr="00EF5D0A">
        <w:rPr>
          <w:lang w:val="hr-HR"/>
        </w:rPr>
        <w:tab/>
        <w:t>...</w:t>
      </w:r>
    </w:p>
    <w:p w14:paraId="61224D15" w14:textId="3017960B" w:rsidR="00014FB0" w:rsidRPr="00EF5D0A" w:rsidRDefault="001E11D2">
      <w:pPr>
        <w:pStyle w:val="IASBSectionTitle2Ind"/>
        <w:rPr>
          <w:lang w:val="hr-HR"/>
        </w:rPr>
      </w:pPr>
      <w:bookmarkStart w:id="19" w:name="unique_31"/>
      <w:r>
        <w:rPr>
          <w:lang w:val="hr-HR"/>
        </w:rPr>
        <w:t>MSFI</w:t>
      </w:r>
      <w:r w:rsidR="001C3CBD" w:rsidRPr="00EF5D0A">
        <w:rPr>
          <w:lang w:val="hr-HR"/>
        </w:rPr>
        <w:t xml:space="preserve"> 7 </w:t>
      </w:r>
      <w:r w:rsidR="001C3CBD" w:rsidRPr="00EF5D0A">
        <w:rPr>
          <w:i/>
          <w:lang w:val="hr-HR"/>
        </w:rPr>
        <w:t>F</w:t>
      </w:r>
      <w:r>
        <w:rPr>
          <w:i/>
          <w:lang w:val="hr-HR"/>
        </w:rPr>
        <w:t>inan</w:t>
      </w:r>
      <w:r w:rsidR="00A408FC">
        <w:rPr>
          <w:i/>
          <w:lang w:val="hr-HR"/>
        </w:rPr>
        <w:t>c</w:t>
      </w:r>
      <w:r>
        <w:rPr>
          <w:i/>
          <w:lang w:val="hr-HR"/>
        </w:rPr>
        <w:t xml:space="preserve">ijski instrumenti: </w:t>
      </w:r>
      <w:bookmarkEnd w:id="19"/>
      <w:r w:rsidR="00A408FC">
        <w:rPr>
          <w:i/>
          <w:lang w:val="hr-HR"/>
        </w:rPr>
        <w:t>o</w:t>
      </w:r>
      <w:r>
        <w:rPr>
          <w:i/>
          <w:lang w:val="hr-HR"/>
        </w:rPr>
        <w:t xml:space="preserve">bjavljivanja </w:t>
      </w:r>
    </w:p>
    <w:p w14:paraId="7BF40128" w14:textId="5AE59D4D" w:rsidR="00014FB0" w:rsidRPr="001332E0" w:rsidRDefault="001C3CBD" w:rsidP="002A65DB">
      <w:pPr>
        <w:pStyle w:val="IASBNormalnpara"/>
        <w:spacing w:before="80"/>
        <w:rPr>
          <w:lang w:val="hr-HR"/>
        </w:rPr>
      </w:pPr>
      <w:r w:rsidRPr="00EF5D0A">
        <w:rPr>
          <w:lang w:val="hr-HR"/>
        </w:rPr>
        <w:t>42</w:t>
      </w:r>
      <w:r w:rsidR="00B84C34">
        <w:rPr>
          <w:lang w:val="hr-HR"/>
        </w:rPr>
        <w:t>.</w:t>
      </w:r>
      <w:r w:rsidRPr="00EF5D0A">
        <w:rPr>
          <w:lang w:val="hr-HR"/>
        </w:rPr>
        <w:tab/>
      </w:r>
      <w:r w:rsidR="00A408FC">
        <w:rPr>
          <w:lang w:val="hr-HR"/>
        </w:rPr>
        <w:t>Stavcima</w:t>
      </w:r>
      <w:r w:rsidR="001332E0">
        <w:rPr>
          <w:lang w:val="hr-HR"/>
        </w:rPr>
        <w:t xml:space="preserve"> 3 </w:t>
      </w:r>
      <w:r w:rsidR="00A408FC">
        <w:rPr>
          <w:lang w:val="hr-HR"/>
        </w:rPr>
        <w:t xml:space="preserve">– </w:t>
      </w:r>
      <w:r w:rsidRPr="001332E0">
        <w:rPr>
          <w:u w:val="single"/>
          <w:lang w:val="hr-HR"/>
        </w:rPr>
        <w:t xml:space="preserve">5D </w:t>
      </w:r>
      <w:r w:rsidRPr="001332E0">
        <w:rPr>
          <w:strike/>
          <w:lang w:val="hr-HR"/>
        </w:rPr>
        <w:t xml:space="preserve">5A </w:t>
      </w:r>
      <w:r w:rsidR="001332E0">
        <w:rPr>
          <w:lang w:val="hr-HR"/>
        </w:rPr>
        <w:t xml:space="preserve">MSFI-ja 7 </w:t>
      </w:r>
      <w:r w:rsidRPr="001332E0">
        <w:rPr>
          <w:i/>
          <w:lang w:val="hr-HR"/>
        </w:rPr>
        <w:t>Finan</w:t>
      </w:r>
      <w:r w:rsidR="00A408FC">
        <w:rPr>
          <w:i/>
          <w:lang w:val="hr-HR"/>
        </w:rPr>
        <w:t>c</w:t>
      </w:r>
      <w:r w:rsidRPr="001332E0">
        <w:rPr>
          <w:i/>
          <w:lang w:val="hr-HR"/>
        </w:rPr>
        <w:t>i</w:t>
      </w:r>
      <w:r w:rsidR="001332E0">
        <w:rPr>
          <w:i/>
          <w:lang w:val="hr-HR"/>
        </w:rPr>
        <w:t>jski</w:t>
      </w:r>
      <w:r w:rsidRPr="001332E0">
        <w:rPr>
          <w:i/>
          <w:lang w:val="hr-HR"/>
        </w:rPr>
        <w:t xml:space="preserve"> </w:t>
      </w:r>
      <w:r w:rsidR="001332E0">
        <w:rPr>
          <w:i/>
          <w:lang w:val="hr-HR"/>
        </w:rPr>
        <w:t>i</w:t>
      </w:r>
      <w:r w:rsidRPr="001332E0">
        <w:rPr>
          <w:i/>
          <w:lang w:val="hr-HR"/>
        </w:rPr>
        <w:t>nstrument</w:t>
      </w:r>
      <w:r w:rsidR="001332E0">
        <w:rPr>
          <w:i/>
          <w:lang w:val="hr-HR"/>
        </w:rPr>
        <w:t>i</w:t>
      </w:r>
      <w:r w:rsidRPr="001332E0">
        <w:rPr>
          <w:i/>
          <w:lang w:val="hr-HR"/>
        </w:rPr>
        <w:t xml:space="preserve">: </w:t>
      </w:r>
      <w:r w:rsidR="00A408FC">
        <w:rPr>
          <w:i/>
          <w:lang w:val="hr-HR"/>
        </w:rPr>
        <w:t>o</w:t>
      </w:r>
      <w:r w:rsidR="001332E0">
        <w:rPr>
          <w:i/>
          <w:lang w:val="hr-HR"/>
        </w:rPr>
        <w:t>bjavljivanja</w:t>
      </w:r>
      <w:r w:rsidRPr="001332E0">
        <w:rPr>
          <w:lang w:val="hr-HR"/>
        </w:rPr>
        <w:t xml:space="preserve"> </w:t>
      </w:r>
      <w:r w:rsidR="00A408FC">
        <w:rPr>
          <w:lang w:val="hr-HR"/>
        </w:rPr>
        <w:t>određen je opseg MSFI-ja 7</w:t>
      </w:r>
      <w:r w:rsidR="001332E0">
        <w:rPr>
          <w:lang w:val="hr-HR"/>
        </w:rPr>
        <w:t xml:space="preserve">, </w:t>
      </w:r>
      <w:r w:rsidR="00A408FC">
        <w:rPr>
          <w:lang w:val="hr-HR"/>
        </w:rPr>
        <w:t>odnosno</w:t>
      </w:r>
      <w:r w:rsidR="001332E0">
        <w:rPr>
          <w:lang w:val="hr-HR"/>
        </w:rPr>
        <w:t>, finan</w:t>
      </w:r>
      <w:r w:rsidR="00A408FC">
        <w:rPr>
          <w:lang w:val="hr-HR"/>
        </w:rPr>
        <w:t>c</w:t>
      </w:r>
      <w:r w:rsidR="001332E0">
        <w:rPr>
          <w:lang w:val="hr-HR"/>
        </w:rPr>
        <w:t xml:space="preserve">ijski instrumenti, ugovori o </w:t>
      </w:r>
      <w:r w:rsidR="00A408FC">
        <w:rPr>
          <w:lang w:val="hr-HR"/>
        </w:rPr>
        <w:t>kupnji ili prodaji nefinancijske</w:t>
      </w:r>
      <w:r w:rsidR="001332E0">
        <w:rPr>
          <w:lang w:val="hr-HR"/>
        </w:rPr>
        <w:t xml:space="preserve"> stavk</w:t>
      </w:r>
      <w:r w:rsidR="00A408FC">
        <w:rPr>
          <w:lang w:val="hr-HR"/>
        </w:rPr>
        <w:t>e</w:t>
      </w:r>
      <w:r w:rsidR="001332E0">
        <w:rPr>
          <w:lang w:val="hr-HR"/>
        </w:rPr>
        <w:t xml:space="preserve"> i prava na koja se </w:t>
      </w:r>
      <w:r w:rsidR="00A408FC">
        <w:rPr>
          <w:lang w:val="hr-HR"/>
        </w:rPr>
        <w:t xml:space="preserve">uvjeti za objavljivanje iz MSFI-ja 7 primjenjuju. </w:t>
      </w:r>
      <w:r w:rsidR="001332E0">
        <w:rPr>
          <w:lang w:val="hr-HR"/>
        </w:rPr>
        <w:t>Subjekt koji primjenjuje ovaj standard</w:t>
      </w:r>
      <w:r w:rsidR="00A408FC">
        <w:rPr>
          <w:lang w:val="hr-HR"/>
        </w:rPr>
        <w:t xml:space="preserve"> dužan je primijeniti stavke </w:t>
      </w:r>
      <w:r w:rsidRPr="001332E0">
        <w:rPr>
          <w:lang w:val="hr-HR"/>
        </w:rPr>
        <w:t>3</w:t>
      </w:r>
      <w:r w:rsidR="00A408FC">
        <w:rPr>
          <w:lang w:val="hr-HR"/>
        </w:rPr>
        <w:t xml:space="preserve"> –</w:t>
      </w:r>
      <w:r w:rsidR="001332E0">
        <w:rPr>
          <w:lang w:val="hr-HR"/>
        </w:rPr>
        <w:t xml:space="preserve"> </w:t>
      </w:r>
      <w:r w:rsidRPr="001332E0">
        <w:rPr>
          <w:u w:val="single"/>
          <w:lang w:val="hr-HR"/>
        </w:rPr>
        <w:t xml:space="preserve">5D </w:t>
      </w:r>
      <w:r w:rsidRPr="001332E0">
        <w:rPr>
          <w:strike/>
          <w:lang w:val="hr-HR"/>
        </w:rPr>
        <w:t xml:space="preserve">5A </w:t>
      </w:r>
      <w:r w:rsidR="001332E0">
        <w:rPr>
          <w:lang w:val="hr-HR"/>
        </w:rPr>
        <w:t>MSFI-ja</w:t>
      </w:r>
      <w:r w:rsidRPr="001332E0">
        <w:rPr>
          <w:lang w:val="hr-HR"/>
        </w:rPr>
        <w:t xml:space="preserve"> 7 </w:t>
      </w:r>
      <w:r w:rsidR="001332E0">
        <w:rPr>
          <w:lang w:val="hr-HR"/>
        </w:rPr>
        <w:t xml:space="preserve">kako bi </w:t>
      </w:r>
      <w:r w:rsidR="00A408FC">
        <w:rPr>
          <w:lang w:val="hr-HR"/>
        </w:rPr>
        <w:t>odredio opseg uvjeta za</w:t>
      </w:r>
      <w:r w:rsidR="001332E0">
        <w:rPr>
          <w:lang w:val="hr-HR"/>
        </w:rPr>
        <w:t xml:space="preserve"> objavljivanja iz </w:t>
      </w:r>
      <w:r w:rsidR="00A408FC">
        <w:rPr>
          <w:lang w:val="hr-HR"/>
        </w:rPr>
        <w:t xml:space="preserve">stavki </w:t>
      </w:r>
      <w:r w:rsidR="001332E0">
        <w:rPr>
          <w:lang w:val="hr-HR"/>
        </w:rPr>
        <w:t>43</w:t>
      </w:r>
      <w:r w:rsidR="00A408FC">
        <w:rPr>
          <w:lang w:val="hr-HR"/>
        </w:rPr>
        <w:t xml:space="preserve"> – </w:t>
      </w:r>
      <w:r w:rsidR="001332E0">
        <w:rPr>
          <w:lang w:val="hr-HR"/>
        </w:rPr>
        <w:t>73</w:t>
      </w:r>
      <w:r w:rsidR="00A408FC">
        <w:rPr>
          <w:lang w:val="hr-HR"/>
        </w:rPr>
        <w:t>. Referencu na</w:t>
      </w:r>
      <w:r w:rsidRPr="001332E0">
        <w:rPr>
          <w:lang w:val="hr-HR"/>
        </w:rPr>
        <w:t>:</w:t>
      </w:r>
    </w:p>
    <w:p w14:paraId="5ADD5643" w14:textId="77777777" w:rsidR="00014FB0" w:rsidRPr="00EF5D0A" w:rsidRDefault="001C3CBD" w:rsidP="002A65DB">
      <w:pPr>
        <w:pStyle w:val="IASBNormalnpara"/>
        <w:spacing w:before="80"/>
        <w:rPr>
          <w:lang w:val="hr-HR"/>
        </w:rPr>
      </w:pPr>
      <w:r w:rsidRPr="00EF5D0A">
        <w:rPr>
          <w:lang w:val="hr-HR"/>
        </w:rPr>
        <w:tab/>
        <w:t>...</w:t>
      </w:r>
    </w:p>
    <w:p w14:paraId="7843368E" w14:textId="5D660A47" w:rsidR="00014FB0" w:rsidRPr="00EF5D0A" w:rsidRDefault="00DF65E9" w:rsidP="002A65DB">
      <w:pPr>
        <w:pStyle w:val="IASBSectionTitle3Ind"/>
        <w:spacing w:beforeLines="80" w:before="192"/>
        <w:rPr>
          <w:lang w:val="hr-HR"/>
        </w:rPr>
      </w:pPr>
      <w:bookmarkStart w:id="20" w:name="unique_71"/>
      <w:r>
        <w:rPr>
          <w:u w:val="single"/>
          <w:lang w:val="hr-HR"/>
        </w:rPr>
        <w:t xml:space="preserve">Ugovori </w:t>
      </w:r>
      <w:r w:rsidR="00992611">
        <w:rPr>
          <w:u w:val="single"/>
          <w:lang w:val="hr-HR"/>
        </w:rPr>
        <w:t>o</w:t>
      </w:r>
      <w:r>
        <w:rPr>
          <w:u w:val="single"/>
          <w:lang w:val="hr-HR"/>
        </w:rPr>
        <w:t xml:space="preserve"> električn</w:t>
      </w:r>
      <w:r w:rsidR="00992611">
        <w:rPr>
          <w:u w:val="single"/>
          <w:lang w:val="hr-HR"/>
        </w:rPr>
        <w:t>oj</w:t>
      </w:r>
      <w:r>
        <w:rPr>
          <w:u w:val="single"/>
          <w:lang w:val="hr-HR"/>
        </w:rPr>
        <w:t xml:space="preserve"> energij</w:t>
      </w:r>
      <w:r w:rsidR="00992611">
        <w:rPr>
          <w:u w:val="single"/>
          <w:lang w:val="hr-HR"/>
        </w:rPr>
        <w:t>i</w:t>
      </w:r>
      <w:r>
        <w:rPr>
          <w:u w:val="single"/>
          <w:lang w:val="hr-HR"/>
        </w:rPr>
        <w:t xml:space="preserve"> iz izvora zavisnih od prirodnih uslov</w:t>
      </w:r>
      <w:bookmarkEnd w:id="20"/>
      <w:r w:rsidR="00992611">
        <w:rPr>
          <w:u w:val="single"/>
          <w:lang w:val="hr-HR"/>
        </w:rPr>
        <w:t>a</w:t>
      </w:r>
    </w:p>
    <w:p w14:paraId="4590ED35" w14:textId="057EC251" w:rsidR="00014FB0" w:rsidRPr="00EF5D0A" w:rsidRDefault="001C3CBD" w:rsidP="002A65DB">
      <w:pPr>
        <w:pStyle w:val="IASBNormalnpara"/>
        <w:spacing w:beforeLines="80" w:before="192"/>
        <w:rPr>
          <w:lang w:val="hr-HR"/>
        </w:rPr>
      </w:pPr>
      <w:r w:rsidRPr="00EF5D0A">
        <w:rPr>
          <w:u w:val="single"/>
          <w:lang w:val="hr-HR"/>
        </w:rPr>
        <w:t>64A</w:t>
      </w:r>
      <w:r w:rsidRPr="00EF5D0A">
        <w:rPr>
          <w:lang w:val="hr-HR"/>
        </w:rPr>
        <w:tab/>
      </w:r>
      <w:r w:rsidR="00702CCA">
        <w:rPr>
          <w:u w:val="single"/>
          <w:lang w:val="hr-HR"/>
        </w:rPr>
        <w:t>Subjekt, u jedinstvenoj bilješki u svojim finan</w:t>
      </w:r>
      <w:r w:rsidR="00992611">
        <w:rPr>
          <w:u w:val="single"/>
          <w:lang w:val="hr-HR"/>
        </w:rPr>
        <w:t>c</w:t>
      </w:r>
      <w:r w:rsidR="00702CCA">
        <w:rPr>
          <w:u w:val="single"/>
          <w:lang w:val="hr-HR"/>
        </w:rPr>
        <w:t xml:space="preserve">ijskim izvještajima, treba objaviti informacije o </w:t>
      </w:r>
      <w:r w:rsidR="00E0303F">
        <w:rPr>
          <w:u w:val="single"/>
          <w:lang w:val="hr-HR"/>
        </w:rPr>
        <w:t xml:space="preserve">svojim </w:t>
      </w:r>
      <w:r w:rsidR="00702CCA">
        <w:rPr>
          <w:u w:val="single"/>
          <w:lang w:val="hr-HR"/>
        </w:rPr>
        <w:t xml:space="preserve">ugovorima </w:t>
      </w:r>
      <w:r w:rsidR="00992611">
        <w:rPr>
          <w:u w:val="single"/>
          <w:lang w:val="hr-HR"/>
        </w:rPr>
        <w:t>o</w:t>
      </w:r>
      <w:r w:rsidR="00702CCA">
        <w:rPr>
          <w:u w:val="single"/>
          <w:lang w:val="hr-HR"/>
        </w:rPr>
        <w:t xml:space="preserve"> električn</w:t>
      </w:r>
      <w:r w:rsidR="00992611">
        <w:rPr>
          <w:u w:val="single"/>
          <w:lang w:val="hr-HR"/>
        </w:rPr>
        <w:t>oj</w:t>
      </w:r>
      <w:r w:rsidR="00702CCA">
        <w:rPr>
          <w:u w:val="single"/>
          <w:lang w:val="hr-HR"/>
        </w:rPr>
        <w:t xml:space="preserve"> energij</w:t>
      </w:r>
      <w:r w:rsidR="00992611">
        <w:rPr>
          <w:u w:val="single"/>
          <w:lang w:val="hr-HR"/>
        </w:rPr>
        <w:t>i</w:t>
      </w:r>
      <w:r w:rsidR="00702CCA">
        <w:rPr>
          <w:u w:val="single"/>
          <w:lang w:val="hr-HR"/>
        </w:rPr>
        <w:t xml:space="preserve"> iz izvora </w:t>
      </w:r>
      <w:r w:rsidR="00992611">
        <w:rPr>
          <w:u w:val="single"/>
          <w:lang w:val="hr-HR"/>
        </w:rPr>
        <w:t xml:space="preserve">zavisnih od prirodnih uslova </w:t>
      </w:r>
      <w:r w:rsidR="00702CCA">
        <w:rPr>
          <w:u w:val="single"/>
          <w:lang w:val="hr-HR"/>
        </w:rPr>
        <w:t xml:space="preserve">koji zadovoljavaju kriterije iz </w:t>
      </w:r>
      <w:r w:rsidR="00CC1542">
        <w:rPr>
          <w:u w:val="single"/>
          <w:lang w:val="hr-HR"/>
        </w:rPr>
        <w:t>stavke</w:t>
      </w:r>
      <w:r w:rsidR="00702CCA">
        <w:rPr>
          <w:u w:val="single"/>
          <w:lang w:val="hr-HR"/>
        </w:rPr>
        <w:t xml:space="preserve"> </w:t>
      </w:r>
      <w:r w:rsidR="00702CCA" w:rsidRPr="00EF5D0A">
        <w:rPr>
          <w:u w:val="single"/>
          <w:lang w:val="hr-HR"/>
        </w:rPr>
        <w:t>5B</w:t>
      </w:r>
      <w:r w:rsidR="00702CCA">
        <w:rPr>
          <w:u w:val="single"/>
          <w:lang w:val="hr-HR"/>
        </w:rPr>
        <w:t xml:space="preserve"> MSFI-ja 7. Konkretno, subjekt objavljuje:</w:t>
      </w:r>
    </w:p>
    <w:p w14:paraId="63E8DB66" w14:textId="4B56A01F" w:rsidR="00014FB0" w:rsidRPr="00EF5D0A" w:rsidRDefault="001C3CBD" w:rsidP="002A65DB">
      <w:pPr>
        <w:pStyle w:val="IASBNormalnparaL1"/>
        <w:spacing w:before="70"/>
        <w:rPr>
          <w:lang w:val="hr-HR"/>
        </w:rPr>
      </w:pPr>
      <w:r w:rsidRPr="00EF5D0A">
        <w:rPr>
          <w:u w:val="single"/>
          <w:lang w:val="hr-HR"/>
        </w:rPr>
        <w:t>(a)</w:t>
      </w:r>
      <w:r w:rsidRPr="00EF5D0A">
        <w:rPr>
          <w:lang w:val="hr-HR"/>
        </w:rPr>
        <w:tab/>
      </w:r>
      <w:r w:rsidRPr="00EF5D0A">
        <w:rPr>
          <w:u w:val="single"/>
          <w:lang w:val="hr-HR"/>
        </w:rPr>
        <w:t>infor</w:t>
      </w:r>
      <w:r w:rsidR="00702CCA">
        <w:rPr>
          <w:u w:val="single"/>
          <w:lang w:val="hr-HR"/>
        </w:rPr>
        <w:t>macije o obilježjima ugovora koja ga izlažu</w:t>
      </w:r>
    </w:p>
    <w:p w14:paraId="6FFA234F" w14:textId="2778D63C" w:rsidR="00702CCA" w:rsidRPr="00EF5D0A" w:rsidRDefault="001C3CBD" w:rsidP="002A65DB">
      <w:pPr>
        <w:pStyle w:val="IASBNormalnparaL2"/>
        <w:spacing w:before="70"/>
        <w:rPr>
          <w:lang w:val="hr-HR"/>
        </w:rPr>
      </w:pPr>
      <w:r w:rsidRPr="00EF5D0A">
        <w:rPr>
          <w:u w:val="single"/>
          <w:lang w:val="hr-HR"/>
        </w:rPr>
        <w:t>(i)</w:t>
      </w:r>
      <w:r w:rsidRPr="00EF5D0A">
        <w:rPr>
          <w:lang w:val="hr-HR"/>
        </w:rPr>
        <w:tab/>
      </w:r>
      <w:r w:rsidR="00702CCA">
        <w:rPr>
          <w:u w:val="single"/>
          <w:lang w:val="hr-HR"/>
        </w:rPr>
        <w:t xml:space="preserve">promjenjivosti </w:t>
      </w:r>
      <w:r w:rsidR="00992611">
        <w:rPr>
          <w:u w:val="single"/>
          <w:lang w:val="hr-HR"/>
        </w:rPr>
        <w:t>predmetnih</w:t>
      </w:r>
      <w:r w:rsidR="00702CCA">
        <w:rPr>
          <w:u w:val="single"/>
          <w:lang w:val="hr-HR"/>
        </w:rPr>
        <w:t xml:space="preserve"> količina električne energije (vidjeti </w:t>
      </w:r>
      <w:r w:rsidR="00CC1542">
        <w:rPr>
          <w:u w:val="single"/>
          <w:lang w:val="hr-HR"/>
        </w:rPr>
        <w:t>stavku</w:t>
      </w:r>
      <w:r w:rsidR="00702CCA">
        <w:rPr>
          <w:u w:val="single"/>
          <w:lang w:val="hr-HR"/>
        </w:rPr>
        <w:t xml:space="preserve"> </w:t>
      </w:r>
      <w:r w:rsidR="00702CCA" w:rsidRPr="00EF5D0A">
        <w:rPr>
          <w:u w:val="single"/>
          <w:lang w:val="hr-HR"/>
        </w:rPr>
        <w:t>2</w:t>
      </w:r>
      <w:r w:rsidR="00CC1542">
        <w:rPr>
          <w:u w:val="single"/>
          <w:lang w:val="hr-HR"/>
        </w:rPr>
        <w:t>.</w:t>
      </w:r>
      <w:r w:rsidR="00702CCA" w:rsidRPr="00EF5D0A">
        <w:rPr>
          <w:u w:val="single"/>
          <w:lang w:val="hr-HR"/>
        </w:rPr>
        <w:t xml:space="preserve">3A </w:t>
      </w:r>
      <w:r w:rsidR="00702CCA">
        <w:rPr>
          <w:u w:val="single"/>
          <w:lang w:val="hr-HR"/>
        </w:rPr>
        <w:t>MSFI-ja</w:t>
      </w:r>
      <w:r w:rsidR="00702CCA" w:rsidRPr="00EF5D0A">
        <w:rPr>
          <w:u w:val="single"/>
          <w:lang w:val="hr-HR"/>
        </w:rPr>
        <w:t xml:space="preserve"> 9)</w:t>
      </w:r>
      <w:r w:rsidR="00702CCA">
        <w:rPr>
          <w:u w:val="single"/>
          <w:lang w:val="hr-HR"/>
        </w:rPr>
        <w:t xml:space="preserve"> i </w:t>
      </w:r>
    </w:p>
    <w:p w14:paraId="66156066" w14:textId="56345602" w:rsidR="00014FB0" w:rsidRPr="00EF5D0A" w:rsidRDefault="00702CCA" w:rsidP="002A65DB">
      <w:pPr>
        <w:pStyle w:val="IASBNormalnparaL2"/>
        <w:spacing w:before="70"/>
        <w:rPr>
          <w:lang w:val="hr-HR"/>
        </w:rPr>
      </w:pPr>
      <w:r w:rsidRPr="00EF5D0A">
        <w:rPr>
          <w:u w:val="single"/>
          <w:lang w:val="hr-HR"/>
        </w:rPr>
        <w:t>(ii)</w:t>
      </w:r>
      <w:r w:rsidRPr="00EF5D0A">
        <w:rPr>
          <w:lang w:val="hr-HR"/>
        </w:rPr>
        <w:tab/>
      </w:r>
      <w:r>
        <w:rPr>
          <w:u w:val="single"/>
          <w:lang w:val="hr-HR"/>
        </w:rPr>
        <w:t xml:space="preserve">riziku da će morati nabaviti električnu energiju u </w:t>
      </w:r>
      <w:r w:rsidR="00E0303F">
        <w:rPr>
          <w:u w:val="single"/>
          <w:lang w:val="hr-HR"/>
        </w:rPr>
        <w:t>intervalu</w:t>
      </w:r>
      <w:r>
        <w:rPr>
          <w:u w:val="single"/>
          <w:lang w:val="hr-HR"/>
        </w:rPr>
        <w:t xml:space="preserve"> isporuke u kojem je ne može utrošiti </w:t>
      </w:r>
      <w:r w:rsidRPr="00EF5D0A">
        <w:rPr>
          <w:u w:val="single"/>
          <w:lang w:val="hr-HR"/>
        </w:rPr>
        <w:t>(</w:t>
      </w:r>
      <w:r>
        <w:rPr>
          <w:u w:val="single"/>
          <w:lang w:val="hr-HR"/>
        </w:rPr>
        <w:t xml:space="preserve">vidjeti </w:t>
      </w:r>
      <w:r w:rsidR="00CC1542">
        <w:rPr>
          <w:u w:val="single"/>
          <w:lang w:val="hr-HR"/>
        </w:rPr>
        <w:t>stavku</w:t>
      </w:r>
      <w:r>
        <w:rPr>
          <w:u w:val="single"/>
          <w:lang w:val="hr-HR"/>
        </w:rPr>
        <w:t xml:space="preserve"> </w:t>
      </w:r>
      <w:r w:rsidRPr="00EF5D0A">
        <w:rPr>
          <w:u w:val="single"/>
          <w:lang w:val="hr-HR"/>
        </w:rPr>
        <w:t xml:space="preserve">B2.7 </w:t>
      </w:r>
      <w:r>
        <w:rPr>
          <w:u w:val="single"/>
          <w:lang w:val="hr-HR"/>
        </w:rPr>
        <w:t>MSFI-ja</w:t>
      </w:r>
      <w:r w:rsidRPr="00EF5D0A">
        <w:rPr>
          <w:u w:val="single"/>
          <w:lang w:val="hr-HR"/>
        </w:rPr>
        <w:t xml:space="preserve"> 9)</w:t>
      </w:r>
      <w:r>
        <w:rPr>
          <w:u w:val="single"/>
          <w:lang w:val="hr-HR"/>
        </w:rPr>
        <w:t>;</w:t>
      </w:r>
    </w:p>
    <w:p w14:paraId="5D1CEE35" w14:textId="74E01F64" w:rsidR="00E0303F" w:rsidRDefault="001C3CBD" w:rsidP="002A65DB">
      <w:pPr>
        <w:pStyle w:val="IASBNormalnparaL1"/>
        <w:spacing w:before="70"/>
        <w:rPr>
          <w:u w:val="single"/>
          <w:lang w:val="hr-HR"/>
        </w:rPr>
      </w:pPr>
      <w:r w:rsidRPr="00EF5D0A">
        <w:rPr>
          <w:u w:val="single"/>
          <w:lang w:val="hr-HR"/>
        </w:rPr>
        <w:t>(b)</w:t>
      </w:r>
      <w:r w:rsidRPr="00EF5D0A">
        <w:rPr>
          <w:lang w:val="hr-HR"/>
        </w:rPr>
        <w:tab/>
      </w:r>
      <w:r w:rsidR="00702CCA" w:rsidRPr="00EF5D0A">
        <w:rPr>
          <w:u w:val="single"/>
          <w:lang w:val="hr-HR"/>
        </w:rPr>
        <w:t>in</w:t>
      </w:r>
      <w:r w:rsidR="00702CCA">
        <w:rPr>
          <w:u w:val="single"/>
          <w:lang w:val="hr-HR"/>
        </w:rPr>
        <w:t>formacije o nepriznatim preuzetim obavezama koje proističu iz takvih ugovara sa stanjem na datum izvještavanja, uključujući</w:t>
      </w:r>
    </w:p>
    <w:p w14:paraId="2828FA6F" w14:textId="4A297AFD" w:rsidR="00702CCA" w:rsidRPr="00EF5D0A" w:rsidRDefault="001C3CBD" w:rsidP="002A65DB">
      <w:pPr>
        <w:pStyle w:val="IASBNormalnparaL2"/>
        <w:spacing w:before="70"/>
        <w:rPr>
          <w:lang w:val="hr-HR"/>
        </w:rPr>
      </w:pPr>
      <w:r w:rsidRPr="00EF5D0A">
        <w:rPr>
          <w:u w:val="single"/>
          <w:lang w:val="hr-HR"/>
        </w:rPr>
        <w:t>(i)</w:t>
      </w:r>
      <w:r w:rsidRPr="00EF5D0A">
        <w:rPr>
          <w:lang w:val="hr-HR"/>
        </w:rPr>
        <w:tab/>
      </w:r>
      <w:r w:rsidR="00702CCA">
        <w:rPr>
          <w:u w:val="single"/>
          <w:lang w:val="hr-HR"/>
        </w:rPr>
        <w:t xml:space="preserve">procijenjene buduće novčane tokove od nabavke električne energije prema tim ugovorima. Subjekt se </w:t>
      </w:r>
      <w:r w:rsidR="006B0999">
        <w:rPr>
          <w:u w:val="single"/>
          <w:lang w:val="hr-HR"/>
        </w:rPr>
        <w:t xml:space="preserve">treba </w:t>
      </w:r>
      <w:r w:rsidR="00702CCA">
        <w:rPr>
          <w:u w:val="single"/>
          <w:lang w:val="hr-HR"/>
        </w:rPr>
        <w:t>služi</w:t>
      </w:r>
      <w:r w:rsidR="006B0999">
        <w:rPr>
          <w:u w:val="single"/>
          <w:lang w:val="hr-HR"/>
        </w:rPr>
        <w:t>ti</w:t>
      </w:r>
      <w:r w:rsidR="00702CCA">
        <w:rPr>
          <w:u w:val="single"/>
          <w:lang w:val="hr-HR"/>
        </w:rPr>
        <w:t xml:space="preserve"> vlastitim rasuđivanjem kod određivanja odgovarajućih </w:t>
      </w:r>
      <w:r w:rsidR="006B0999">
        <w:rPr>
          <w:u w:val="single"/>
          <w:lang w:val="hr-HR"/>
        </w:rPr>
        <w:t>vremenskih raspona</w:t>
      </w:r>
      <w:r w:rsidR="00702CCA">
        <w:rPr>
          <w:u w:val="single"/>
          <w:lang w:val="hr-HR"/>
        </w:rPr>
        <w:t xml:space="preserve"> u okviru kojih treba objaviti procijenjene buduće novčane tokove; </w:t>
      </w:r>
    </w:p>
    <w:p w14:paraId="3D83ABD3" w14:textId="3978370C" w:rsidR="006B0999" w:rsidRPr="006B0999" w:rsidRDefault="00702CCA" w:rsidP="002A65DB">
      <w:pPr>
        <w:pStyle w:val="IASBNormalnparaL2"/>
        <w:spacing w:before="70"/>
        <w:rPr>
          <w:u w:val="single"/>
          <w:lang w:val="hr-HR"/>
        </w:rPr>
      </w:pPr>
      <w:r w:rsidRPr="00EF5D0A">
        <w:rPr>
          <w:u w:val="single"/>
          <w:lang w:val="hr-HR"/>
        </w:rPr>
        <w:t>(ii)</w:t>
      </w:r>
      <w:r w:rsidRPr="00EF5D0A">
        <w:rPr>
          <w:lang w:val="hr-HR"/>
        </w:rPr>
        <w:tab/>
      </w:r>
      <w:r>
        <w:rPr>
          <w:u w:val="single"/>
          <w:lang w:val="hr-HR"/>
        </w:rPr>
        <w:t xml:space="preserve">kvalitativne informacije o tome na koji način subjekt procjenjuje da li bi neki ugovor mogao </w:t>
      </w:r>
      <w:r w:rsidR="006B0999">
        <w:rPr>
          <w:u w:val="single"/>
          <w:lang w:val="hr-HR"/>
        </w:rPr>
        <w:t xml:space="preserve">postati </w:t>
      </w:r>
      <w:r>
        <w:rPr>
          <w:u w:val="single"/>
          <w:lang w:val="hr-HR"/>
        </w:rPr>
        <w:t xml:space="preserve">štetan </w:t>
      </w:r>
      <w:r w:rsidRPr="00EF5D0A">
        <w:rPr>
          <w:u w:val="single"/>
          <w:lang w:val="hr-HR"/>
        </w:rPr>
        <w:t>(</w:t>
      </w:r>
      <w:r>
        <w:rPr>
          <w:u w:val="single"/>
          <w:lang w:val="hr-HR"/>
        </w:rPr>
        <w:t>vidjeti</w:t>
      </w:r>
      <w:r w:rsidRPr="00EF5D0A">
        <w:rPr>
          <w:u w:val="single"/>
          <w:lang w:val="hr-HR"/>
        </w:rPr>
        <w:t xml:space="preserve"> </w:t>
      </w:r>
      <w:r>
        <w:rPr>
          <w:u w:val="single"/>
          <w:lang w:val="hr-HR"/>
        </w:rPr>
        <w:t>MRS</w:t>
      </w:r>
      <w:r w:rsidRPr="00EF5D0A">
        <w:rPr>
          <w:u w:val="single"/>
          <w:lang w:val="hr-HR"/>
        </w:rPr>
        <w:t xml:space="preserve"> 37 </w:t>
      </w:r>
      <w:r>
        <w:rPr>
          <w:i/>
          <w:u w:val="single"/>
          <w:lang w:val="hr-HR"/>
        </w:rPr>
        <w:t>Rezervisanja, potencijalne obaveze i potencijalna imovina</w:t>
      </w:r>
      <w:r w:rsidRPr="00EF5D0A">
        <w:rPr>
          <w:u w:val="single"/>
          <w:lang w:val="hr-HR"/>
        </w:rPr>
        <w:t xml:space="preserve">), </w:t>
      </w:r>
      <w:r>
        <w:rPr>
          <w:u w:val="single"/>
          <w:lang w:val="hr-HR"/>
        </w:rPr>
        <w:t xml:space="preserve">uključujući pretpostavke koje koristi kod tih procjena; </w:t>
      </w:r>
    </w:p>
    <w:p w14:paraId="05420CE1" w14:textId="712C38A1" w:rsidR="00014FB0" w:rsidRPr="00EF5D0A" w:rsidRDefault="001C3CBD" w:rsidP="002A65DB">
      <w:pPr>
        <w:pStyle w:val="IASBNormalnparaL1"/>
        <w:spacing w:before="80"/>
        <w:rPr>
          <w:lang w:val="hr-HR"/>
        </w:rPr>
      </w:pPr>
      <w:r w:rsidRPr="00EF5D0A">
        <w:rPr>
          <w:u w:val="single"/>
          <w:lang w:val="hr-HR"/>
        </w:rPr>
        <w:t>(c)</w:t>
      </w:r>
      <w:r w:rsidRPr="00EF5D0A">
        <w:rPr>
          <w:lang w:val="hr-HR"/>
        </w:rPr>
        <w:tab/>
      </w:r>
      <w:r w:rsidR="00702CCA">
        <w:rPr>
          <w:u w:val="single"/>
          <w:lang w:val="hr-HR"/>
        </w:rPr>
        <w:t>kvalitativne i kvantitativne informacije o efektima na finan</w:t>
      </w:r>
      <w:r w:rsidR="00CC1542">
        <w:rPr>
          <w:u w:val="single"/>
          <w:lang w:val="hr-HR"/>
        </w:rPr>
        <w:t>c</w:t>
      </w:r>
      <w:r w:rsidR="00702CCA">
        <w:rPr>
          <w:u w:val="single"/>
          <w:lang w:val="hr-HR"/>
        </w:rPr>
        <w:t>ijsk</w:t>
      </w:r>
      <w:r w:rsidR="00A0254B">
        <w:rPr>
          <w:u w:val="single"/>
          <w:lang w:val="hr-HR"/>
        </w:rPr>
        <w:t>u uspješnost</w:t>
      </w:r>
      <w:r w:rsidR="00702CCA">
        <w:rPr>
          <w:u w:val="single"/>
          <w:lang w:val="hr-HR"/>
        </w:rPr>
        <w:t xml:space="preserve"> u izvještajnom periodu. Ovo objavljivanje se zasniva na informacijama koje se odnose na izvještajni period koji je subjekt koristio kod procjene toga da li je bio neto kupac električne energije (vidjeti </w:t>
      </w:r>
      <w:r w:rsidR="00CC1542">
        <w:rPr>
          <w:u w:val="single"/>
          <w:lang w:val="hr-HR"/>
        </w:rPr>
        <w:t>stavku</w:t>
      </w:r>
      <w:r w:rsidR="00702CCA">
        <w:rPr>
          <w:u w:val="single"/>
          <w:lang w:val="hr-HR"/>
        </w:rPr>
        <w:t xml:space="preserve"> </w:t>
      </w:r>
      <w:r w:rsidR="00702CCA" w:rsidRPr="00EF5D0A">
        <w:rPr>
          <w:u w:val="single"/>
          <w:lang w:val="hr-HR"/>
        </w:rPr>
        <w:t xml:space="preserve">B2.8 </w:t>
      </w:r>
      <w:r w:rsidR="00702CCA">
        <w:rPr>
          <w:u w:val="single"/>
          <w:lang w:val="hr-HR"/>
        </w:rPr>
        <w:t>MSFI-ja</w:t>
      </w:r>
      <w:r w:rsidR="00702CCA" w:rsidRPr="00EF5D0A">
        <w:rPr>
          <w:u w:val="single"/>
          <w:lang w:val="hr-HR"/>
        </w:rPr>
        <w:t xml:space="preserve"> 9). </w:t>
      </w:r>
      <w:r w:rsidR="00702CCA">
        <w:rPr>
          <w:u w:val="single"/>
          <w:lang w:val="hr-HR"/>
        </w:rPr>
        <w:t>Subjekt treba objaviti informacije za izvještajni period o</w:t>
      </w:r>
    </w:p>
    <w:p w14:paraId="4CF04DC7" w14:textId="677134E9" w:rsidR="00702CCA" w:rsidRPr="00EF5D0A" w:rsidRDefault="001C3CBD" w:rsidP="002A65DB">
      <w:pPr>
        <w:pStyle w:val="IASBNormalnparaL2"/>
        <w:spacing w:before="70"/>
        <w:rPr>
          <w:lang w:val="hr-HR"/>
        </w:rPr>
      </w:pPr>
      <w:r w:rsidRPr="00EF5D0A">
        <w:rPr>
          <w:u w:val="single"/>
          <w:lang w:val="hr-HR"/>
        </w:rPr>
        <w:t>(i)</w:t>
      </w:r>
      <w:r w:rsidRPr="00EF5D0A">
        <w:rPr>
          <w:lang w:val="hr-HR"/>
        </w:rPr>
        <w:tab/>
      </w:r>
      <w:r w:rsidR="00702CCA" w:rsidRPr="00EF5D0A">
        <w:rPr>
          <w:u w:val="single"/>
          <w:lang w:val="hr-HR"/>
        </w:rPr>
        <w:t>t</w:t>
      </w:r>
      <w:r w:rsidR="00702CCA">
        <w:rPr>
          <w:u w:val="single"/>
          <w:lang w:val="hr-HR"/>
        </w:rPr>
        <w:t>roškovima proisteklim iz nabavki električne energije koje su izvršene prema ugovoru, pri tome razdvajajući informacije o količin</w:t>
      </w:r>
      <w:r w:rsidR="00CC1542">
        <w:rPr>
          <w:u w:val="single"/>
          <w:lang w:val="hr-HR"/>
        </w:rPr>
        <w:t>ama</w:t>
      </w:r>
      <w:r w:rsidR="00702CCA">
        <w:rPr>
          <w:u w:val="single"/>
          <w:lang w:val="hr-HR"/>
        </w:rPr>
        <w:t xml:space="preserve"> nabavljene električne energije koj</w:t>
      </w:r>
      <w:r w:rsidR="00CC1542">
        <w:rPr>
          <w:u w:val="single"/>
          <w:lang w:val="hr-HR"/>
        </w:rPr>
        <w:t>e su bile neutrošene</w:t>
      </w:r>
      <w:r w:rsidR="00702CCA">
        <w:rPr>
          <w:u w:val="single"/>
          <w:lang w:val="hr-HR"/>
        </w:rPr>
        <w:t xml:space="preserve"> u trenutku </w:t>
      </w:r>
      <w:r w:rsidR="00CC1542">
        <w:rPr>
          <w:u w:val="single"/>
          <w:lang w:val="hr-HR"/>
        </w:rPr>
        <w:t>isporuke</w:t>
      </w:r>
      <w:r w:rsidR="00702CCA">
        <w:rPr>
          <w:u w:val="single"/>
          <w:lang w:val="hr-HR"/>
        </w:rPr>
        <w:t xml:space="preserve">; </w:t>
      </w:r>
    </w:p>
    <w:p w14:paraId="39E4B039" w14:textId="77777777" w:rsidR="00702CCA" w:rsidRPr="00EF5D0A" w:rsidRDefault="00702CCA" w:rsidP="002A65DB">
      <w:pPr>
        <w:pStyle w:val="IASBNormalnparaL2"/>
        <w:spacing w:before="70"/>
        <w:rPr>
          <w:lang w:val="hr-HR"/>
        </w:rPr>
      </w:pPr>
      <w:r w:rsidRPr="00EF5D0A">
        <w:rPr>
          <w:u w:val="single"/>
          <w:lang w:val="hr-HR"/>
        </w:rPr>
        <w:t>(ii)</w:t>
      </w:r>
      <w:r w:rsidRPr="00EF5D0A">
        <w:rPr>
          <w:lang w:val="hr-HR"/>
        </w:rPr>
        <w:tab/>
      </w:r>
      <w:r>
        <w:rPr>
          <w:u w:val="single"/>
          <w:lang w:val="hr-HR"/>
        </w:rPr>
        <w:t xml:space="preserve">prinosima od prodaje neutrošene električne energije; i </w:t>
      </w:r>
    </w:p>
    <w:p w14:paraId="6040F01F" w14:textId="23D67BB4" w:rsidR="00A0254B" w:rsidRPr="00A0254B" w:rsidRDefault="00702CCA" w:rsidP="002A65DB">
      <w:pPr>
        <w:pStyle w:val="IASBNormalnparaL2"/>
        <w:spacing w:before="70"/>
        <w:rPr>
          <w:lang w:val="hr-HR"/>
        </w:rPr>
      </w:pPr>
      <w:r w:rsidRPr="00EF5D0A">
        <w:rPr>
          <w:u w:val="single"/>
          <w:lang w:val="hr-HR"/>
        </w:rPr>
        <w:t>(iii)</w:t>
      </w:r>
      <w:r w:rsidRPr="00EF5D0A">
        <w:rPr>
          <w:lang w:val="hr-HR"/>
        </w:rPr>
        <w:tab/>
      </w:r>
      <w:r>
        <w:rPr>
          <w:u w:val="single"/>
          <w:lang w:val="hr-HR"/>
        </w:rPr>
        <w:t xml:space="preserve">troškovima proisteklim iz nabavki električne energije koje su izvršene u funkciji </w:t>
      </w:r>
      <w:r w:rsidR="00A67E98">
        <w:rPr>
          <w:u w:val="single"/>
          <w:lang w:val="hr-HR"/>
        </w:rPr>
        <w:t>poravnanja</w:t>
      </w:r>
      <w:r>
        <w:rPr>
          <w:u w:val="single"/>
          <w:lang w:val="hr-HR"/>
        </w:rPr>
        <w:t xml:space="preserve"> prodaje neutrošene električne energije</w:t>
      </w:r>
      <w:r w:rsidR="001C3CBD" w:rsidRPr="00EF5D0A">
        <w:rPr>
          <w:u w:val="single"/>
          <w:lang w:val="hr-HR"/>
        </w:rPr>
        <w:t>.</w:t>
      </w:r>
    </w:p>
    <w:p w14:paraId="52650CF6" w14:textId="035299DE" w:rsidR="009549BF" w:rsidRPr="00EF5D0A" w:rsidRDefault="009549BF" w:rsidP="002A65DB">
      <w:pPr>
        <w:pStyle w:val="IASBNormalnpara"/>
        <w:spacing w:before="90"/>
        <w:rPr>
          <w:lang w:val="hr-HR"/>
        </w:rPr>
      </w:pPr>
      <w:r>
        <w:rPr>
          <w:u w:val="single"/>
          <w:lang w:val="hr-HR"/>
        </w:rPr>
        <w:t>64</w:t>
      </w:r>
      <w:r w:rsidRPr="00EF5D0A">
        <w:rPr>
          <w:u w:val="single"/>
          <w:lang w:val="hr-HR"/>
        </w:rPr>
        <w:t>B</w:t>
      </w:r>
      <w:r w:rsidRPr="00EF5D0A">
        <w:rPr>
          <w:lang w:val="hr-HR"/>
        </w:rPr>
        <w:tab/>
      </w:r>
      <w:r>
        <w:rPr>
          <w:u w:val="single"/>
          <w:lang w:val="hr-HR"/>
        </w:rPr>
        <w:t xml:space="preserve">Subjekt, u odnosu na svoje ugovore koji zadovoljavaju kriterije iz </w:t>
      </w:r>
      <w:r w:rsidR="007C670A">
        <w:rPr>
          <w:u w:val="single"/>
          <w:lang w:val="hr-HR"/>
        </w:rPr>
        <w:t>stavke</w:t>
      </w:r>
      <w:r>
        <w:rPr>
          <w:u w:val="single"/>
          <w:lang w:val="hr-HR"/>
        </w:rPr>
        <w:t xml:space="preserve"> </w:t>
      </w:r>
      <w:r w:rsidRPr="00EF5D0A">
        <w:rPr>
          <w:u w:val="single"/>
          <w:lang w:val="hr-HR"/>
        </w:rPr>
        <w:t>5C</w:t>
      </w:r>
      <w:r w:rsidR="007C670A">
        <w:rPr>
          <w:u w:val="single"/>
          <w:lang w:val="hr-HR"/>
        </w:rPr>
        <w:t xml:space="preserve"> MSFI-ja 7</w:t>
      </w:r>
      <w:r w:rsidRPr="00EF5D0A">
        <w:rPr>
          <w:u w:val="single"/>
          <w:lang w:val="hr-HR"/>
        </w:rPr>
        <w:t xml:space="preserve">, </w:t>
      </w:r>
      <w:r w:rsidR="007C670A">
        <w:rPr>
          <w:u w:val="single"/>
          <w:lang w:val="hr-HR"/>
        </w:rPr>
        <w:t xml:space="preserve">iznose povezane sa stavkama određenim kao </w:t>
      </w:r>
      <w:r>
        <w:rPr>
          <w:u w:val="single"/>
          <w:lang w:val="hr-HR"/>
        </w:rPr>
        <w:t>instrumen</w:t>
      </w:r>
      <w:r w:rsidR="007C670A">
        <w:rPr>
          <w:u w:val="single"/>
          <w:lang w:val="hr-HR"/>
        </w:rPr>
        <w:t>ti</w:t>
      </w:r>
      <w:r>
        <w:rPr>
          <w:u w:val="single"/>
          <w:lang w:val="hr-HR"/>
        </w:rPr>
        <w:t xml:space="preserve"> zaštite koje objavljuje u skladu sa </w:t>
      </w:r>
      <w:r w:rsidR="007C670A">
        <w:rPr>
          <w:u w:val="single"/>
          <w:lang w:val="hr-HR"/>
        </w:rPr>
        <w:t>stavkom 6</w:t>
      </w:r>
      <w:r w:rsidR="003B0A2E">
        <w:rPr>
          <w:u w:val="single"/>
          <w:lang w:val="hr-HR"/>
        </w:rPr>
        <w:t>0</w:t>
      </w:r>
      <w:r>
        <w:rPr>
          <w:u w:val="single"/>
          <w:lang w:val="hr-HR"/>
        </w:rPr>
        <w:t xml:space="preserve"> treba razdvojiti prema kategorijama rizika</w:t>
      </w:r>
      <w:r w:rsidRPr="00EF5D0A">
        <w:rPr>
          <w:u w:val="single"/>
          <w:lang w:val="hr-HR"/>
        </w:rPr>
        <w:t>.</w:t>
      </w:r>
    </w:p>
    <w:p w14:paraId="09AF1A8E" w14:textId="65FB23C2" w:rsidR="009549BF" w:rsidRPr="00EF5D0A" w:rsidRDefault="009549BF" w:rsidP="009549BF">
      <w:pPr>
        <w:pStyle w:val="IASBNormalnpara"/>
        <w:rPr>
          <w:lang w:val="hr-HR"/>
        </w:rPr>
      </w:pPr>
      <w:r>
        <w:rPr>
          <w:u w:val="single"/>
          <w:lang w:val="hr-HR"/>
        </w:rPr>
        <w:t>64</w:t>
      </w:r>
      <w:r w:rsidRPr="00EF5D0A">
        <w:rPr>
          <w:u w:val="single"/>
          <w:lang w:val="hr-HR"/>
        </w:rPr>
        <w:t>C</w:t>
      </w:r>
      <w:r w:rsidRPr="00EF5D0A">
        <w:rPr>
          <w:lang w:val="hr-HR"/>
        </w:rPr>
        <w:tab/>
      </w:r>
      <w:r>
        <w:rPr>
          <w:u w:val="single"/>
          <w:lang w:val="hr-HR"/>
        </w:rPr>
        <w:t xml:space="preserve">Ako objavi informacije o drugim ugovorima o električnoj energiji iz izvora zavisnih od prirodnih uslova kako su opisani u </w:t>
      </w:r>
      <w:r w:rsidR="007C670A">
        <w:rPr>
          <w:u w:val="single"/>
          <w:lang w:val="hr-HR"/>
        </w:rPr>
        <w:t xml:space="preserve">stavki </w:t>
      </w:r>
      <w:r>
        <w:rPr>
          <w:u w:val="single"/>
          <w:lang w:val="hr-HR"/>
        </w:rPr>
        <w:t xml:space="preserve">5D </w:t>
      </w:r>
      <w:r w:rsidR="007C670A">
        <w:rPr>
          <w:u w:val="single"/>
          <w:lang w:val="hr-HR"/>
        </w:rPr>
        <w:t xml:space="preserve">MSFI-ja 7 </w:t>
      </w:r>
      <w:r>
        <w:rPr>
          <w:u w:val="single"/>
          <w:lang w:val="hr-HR"/>
        </w:rPr>
        <w:t xml:space="preserve">(uključujući ugovore iz </w:t>
      </w:r>
      <w:r w:rsidR="007C670A">
        <w:rPr>
          <w:u w:val="single"/>
          <w:lang w:val="hr-HR"/>
        </w:rPr>
        <w:t>stavke 64B ovog Standarda</w:t>
      </w:r>
      <w:r>
        <w:rPr>
          <w:u w:val="single"/>
          <w:lang w:val="hr-HR"/>
        </w:rPr>
        <w:t xml:space="preserve">) u drugim bilješkama u sklopu svojih finansijskih izvještaja, subjekt je dužan u te bilješke uvrstiti unakrsno upućivanje na jedinstvenu bilješku koju nalaže </w:t>
      </w:r>
      <w:r w:rsidR="007C670A">
        <w:rPr>
          <w:u w:val="single"/>
          <w:lang w:val="hr-HR"/>
        </w:rPr>
        <w:t>stavka</w:t>
      </w:r>
      <w:r>
        <w:rPr>
          <w:u w:val="single"/>
          <w:lang w:val="hr-HR"/>
        </w:rPr>
        <w:t xml:space="preserve"> 64</w:t>
      </w:r>
      <w:r w:rsidRPr="00EF5D0A">
        <w:rPr>
          <w:u w:val="single"/>
          <w:lang w:val="hr-HR"/>
        </w:rPr>
        <w:t>A.</w:t>
      </w:r>
    </w:p>
    <w:p w14:paraId="100C585D" w14:textId="65884391" w:rsidR="00014FB0" w:rsidRPr="00EF5D0A" w:rsidRDefault="001332E0">
      <w:pPr>
        <w:pStyle w:val="IASBSectionTitle2NonInd"/>
        <w:rPr>
          <w:lang w:val="hr-HR"/>
        </w:rPr>
      </w:pPr>
      <w:bookmarkStart w:id="21" w:name="unique_32"/>
      <w:r>
        <w:rPr>
          <w:lang w:val="hr-HR"/>
        </w:rPr>
        <w:lastRenderedPageBreak/>
        <w:t xml:space="preserve">Dodatak A – Datum stupanja na snagu i </w:t>
      </w:r>
      <w:bookmarkEnd w:id="21"/>
      <w:r w:rsidR="00992611">
        <w:rPr>
          <w:lang w:val="hr-HR"/>
        </w:rPr>
        <w:t>prijelaza</w:t>
      </w:r>
      <w:r w:rsidR="008D0462">
        <w:rPr>
          <w:lang w:val="hr-HR"/>
        </w:rPr>
        <w:t xml:space="preserve"> </w:t>
      </w:r>
    </w:p>
    <w:p w14:paraId="44A6AD8B" w14:textId="77777777" w:rsidR="00014FB0" w:rsidRPr="00EF5D0A" w:rsidRDefault="001C3CBD">
      <w:pPr>
        <w:pStyle w:val="IASBNormalnpara"/>
        <w:rPr>
          <w:lang w:val="hr-HR"/>
        </w:rPr>
      </w:pPr>
      <w:r w:rsidRPr="00EF5D0A">
        <w:rPr>
          <w:lang w:val="hr-HR"/>
        </w:rPr>
        <w:tab/>
        <w:t>...</w:t>
      </w:r>
    </w:p>
    <w:p w14:paraId="495C8B75" w14:textId="26FB8887" w:rsidR="00014FB0" w:rsidRPr="00EF5D0A" w:rsidRDefault="00B178CB">
      <w:pPr>
        <w:pStyle w:val="IASBSectionTitle2NonInd"/>
        <w:rPr>
          <w:lang w:val="hr-HR"/>
        </w:rPr>
      </w:pPr>
      <w:bookmarkStart w:id="22" w:name="unique_33"/>
      <w:r>
        <w:rPr>
          <w:lang w:val="hr-HR"/>
        </w:rPr>
        <w:t xml:space="preserve">Izmjene i dopune MSFI-ja 9 </w:t>
      </w:r>
      <w:r w:rsidR="001C3CBD" w:rsidRPr="00EF5D0A">
        <w:rPr>
          <w:i/>
          <w:lang w:val="hr-HR"/>
        </w:rPr>
        <w:t>Finan</w:t>
      </w:r>
      <w:r w:rsidR="00696E62">
        <w:rPr>
          <w:i/>
          <w:lang w:val="hr-HR"/>
        </w:rPr>
        <w:t>s</w:t>
      </w:r>
      <w:r>
        <w:rPr>
          <w:i/>
          <w:lang w:val="hr-HR"/>
        </w:rPr>
        <w:t xml:space="preserve">ijski instrumenti </w:t>
      </w:r>
      <w:r>
        <w:rPr>
          <w:lang w:val="hr-HR"/>
        </w:rPr>
        <w:t>i</w:t>
      </w:r>
      <w:r w:rsidR="001C3CBD" w:rsidRPr="00EF5D0A">
        <w:rPr>
          <w:lang w:val="hr-HR"/>
        </w:rPr>
        <w:t xml:space="preserve"> </w:t>
      </w:r>
      <w:r>
        <w:rPr>
          <w:lang w:val="hr-HR"/>
        </w:rPr>
        <w:t xml:space="preserve">MSFI-ja </w:t>
      </w:r>
      <w:r w:rsidR="001C3CBD" w:rsidRPr="00EF5D0A">
        <w:rPr>
          <w:lang w:val="hr-HR"/>
        </w:rPr>
        <w:t xml:space="preserve">7 </w:t>
      </w:r>
      <w:r w:rsidR="001C3CBD" w:rsidRPr="00EF5D0A">
        <w:rPr>
          <w:i/>
          <w:lang w:val="hr-HR"/>
        </w:rPr>
        <w:t>Finan</w:t>
      </w:r>
      <w:r w:rsidR="00696E62">
        <w:rPr>
          <w:i/>
          <w:lang w:val="hr-HR"/>
        </w:rPr>
        <w:t>s</w:t>
      </w:r>
      <w:r>
        <w:rPr>
          <w:i/>
          <w:lang w:val="hr-HR"/>
        </w:rPr>
        <w:t>ijski</w:t>
      </w:r>
      <w:r w:rsidR="001C3CBD" w:rsidRPr="00EF5D0A">
        <w:rPr>
          <w:i/>
          <w:lang w:val="hr-HR"/>
        </w:rPr>
        <w:t xml:space="preserve"> </w:t>
      </w:r>
      <w:r>
        <w:rPr>
          <w:i/>
          <w:lang w:val="hr-HR"/>
        </w:rPr>
        <w:t>i</w:t>
      </w:r>
      <w:r w:rsidR="001C3CBD" w:rsidRPr="00EF5D0A">
        <w:rPr>
          <w:i/>
          <w:lang w:val="hr-HR"/>
        </w:rPr>
        <w:t>nstrument</w:t>
      </w:r>
      <w:r>
        <w:rPr>
          <w:i/>
          <w:lang w:val="hr-HR"/>
        </w:rPr>
        <w:t>i</w:t>
      </w:r>
      <w:r w:rsidR="001C3CBD" w:rsidRPr="00EF5D0A">
        <w:rPr>
          <w:i/>
          <w:lang w:val="hr-HR"/>
        </w:rPr>
        <w:t xml:space="preserve">: </w:t>
      </w:r>
      <w:r>
        <w:rPr>
          <w:i/>
          <w:lang w:val="hr-HR"/>
        </w:rPr>
        <w:t>Objavljivanja</w:t>
      </w:r>
      <w:bookmarkEnd w:id="22"/>
    </w:p>
    <w:p w14:paraId="7E5ED8CC" w14:textId="77777777" w:rsidR="00014FB0" w:rsidRPr="00EF5D0A" w:rsidRDefault="001C3CBD">
      <w:pPr>
        <w:pStyle w:val="IASBNormalnpara"/>
        <w:rPr>
          <w:lang w:val="hr-HR"/>
        </w:rPr>
      </w:pPr>
      <w:r w:rsidRPr="00EF5D0A">
        <w:rPr>
          <w:lang w:val="hr-HR"/>
        </w:rPr>
        <w:tab/>
        <w:t>...</w:t>
      </w:r>
    </w:p>
    <w:p w14:paraId="57FE4B6E" w14:textId="2B15A540" w:rsidR="00014FB0" w:rsidRPr="00EF5D0A" w:rsidRDefault="001C3CBD" w:rsidP="002E545F">
      <w:pPr>
        <w:pStyle w:val="IASBNormalnpara"/>
        <w:rPr>
          <w:lang w:val="hr-HR"/>
        </w:rPr>
        <w:sectPr w:rsidR="00014FB0" w:rsidRPr="00EF5D0A">
          <w:headerReference w:type="even" r:id="rId30"/>
          <w:headerReference w:type="default" r:id="rId31"/>
          <w:footerReference w:type="even" r:id="rId32"/>
          <w:footerReference w:type="default" r:id="rId33"/>
          <w:pgSz w:w="11895" w:h="16834"/>
          <w:pgMar w:top="1440" w:right="1440" w:bottom="1440" w:left="1440" w:header="720" w:footer="720" w:gutter="0"/>
          <w:cols w:space="720"/>
        </w:sectPr>
      </w:pPr>
      <w:r w:rsidRPr="00EF5D0A">
        <w:rPr>
          <w:u w:val="single"/>
          <w:lang w:val="hr-HR"/>
        </w:rPr>
        <w:t>A</w:t>
      </w:r>
      <w:r w:rsidR="00696E62">
        <w:rPr>
          <w:u w:val="single"/>
          <w:lang w:val="hr-HR"/>
        </w:rPr>
        <w:t>.</w:t>
      </w:r>
      <w:r w:rsidRPr="00EF5D0A">
        <w:rPr>
          <w:u w:val="single"/>
          <w:lang w:val="hr-HR"/>
        </w:rPr>
        <w:t>6</w:t>
      </w:r>
      <w:r w:rsidRPr="00EF5D0A">
        <w:rPr>
          <w:lang w:val="hr-HR"/>
        </w:rPr>
        <w:tab/>
      </w:r>
      <w:r w:rsidR="000B5C34" w:rsidRPr="0014372C">
        <w:rPr>
          <w:u w:val="single"/>
          <w:lang w:val="hr-HR"/>
        </w:rPr>
        <w:t xml:space="preserve">Odredbama dokumenta </w:t>
      </w:r>
      <w:r w:rsidR="00DF65E9">
        <w:rPr>
          <w:i/>
          <w:u w:val="single"/>
          <w:lang w:val="hr-HR"/>
        </w:rPr>
        <w:t xml:space="preserve">Ugovori </w:t>
      </w:r>
      <w:r w:rsidR="00992611">
        <w:rPr>
          <w:i/>
          <w:u w:val="single"/>
          <w:lang w:val="hr-HR"/>
        </w:rPr>
        <w:t>o</w:t>
      </w:r>
      <w:r w:rsidR="00DF65E9">
        <w:rPr>
          <w:i/>
          <w:u w:val="single"/>
          <w:lang w:val="hr-HR"/>
        </w:rPr>
        <w:t xml:space="preserve"> električn</w:t>
      </w:r>
      <w:r w:rsidR="00992611">
        <w:rPr>
          <w:i/>
          <w:u w:val="single"/>
          <w:lang w:val="hr-HR"/>
        </w:rPr>
        <w:t>oj</w:t>
      </w:r>
      <w:r w:rsidR="00DF65E9">
        <w:rPr>
          <w:i/>
          <w:u w:val="single"/>
          <w:lang w:val="hr-HR"/>
        </w:rPr>
        <w:t xml:space="preserve"> energij</w:t>
      </w:r>
      <w:r w:rsidR="00992611">
        <w:rPr>
          <w:i/>
          <w:u w:val="single"/>
          <w:lang w:val="hr-HR"/>
        </w:rPr>
        <w:t>i</w:t>
      </w:r>
      <w:r w:rsidR="00DF65E9">
        <w:rPr>
          <w:i/>
          <w:u w:val="single"/>
          <w:lang w:val="hr-HR"/>
        </w:rPr>
        <w:t xml:space="preserve"> iz izvora zavisnih od prirodnih uslova</w:t>
      </w:r>
      <w:r w:rsidR="00696E62">
        <w:rPr>
          <w:u w:val="single"/>
          <w:lang w:val="hr-HR"/>
        </w:rPr>
        <w:t xml:space="preserve">, </w:t>
      </w:r>
      <w:r w:rsidR="000B5C34" w:rsidRPr="00EF5D0A">
        <w:rPr>
          <w:u w:val="single"/>
          <w:lang w:val="hr-HR"/>
        </w:rPr>
        <w:t>i</w:t>
      </w:r>
      <w:r w:rsidR="000B5C34">
        <w:rPr>
          <w:u w:val="single"/>
          <w:lang w:val="hr-HR"/>
        </w:rPr>
        <w:t>zdat</w:t>
      </w:r>
      <w:r w:rsidR="002E545F">
        <w:rPr>
          <w:u w:val="single"/>
          <w:lang w:val="hr-HR"/>
        </w:rPr>
        <w:t>og</w:t>
      </w:r>
      <w:r w:rsidR="000B5C34">
        <w:rPr>
          <w:u w:val="single"/>
          <w:lang w:val="hr-HR"/>
        </w:rPr>
        <w:t xml:space="preserve"> u decembru </w:t>
      </w:r>
      <w:r w:rsidR="000B5C34" w:rsidRPr="00EF5D0A">
        <w:rPr>
          <w:u w:val="single"/>
          <w:lang w:val="hr-HR"/>
        </w:rPr>
        <w:t>2024</w:t>
      </w:r>
      <w:r w:rsidR="000B5C34">
        <w:rPr>
          <w:u w:val="single"/>
          <w:lang w:val="hr-HR"/>
        </w:rPr>
        <w:t xml:space="preserve">. godine, </w:t>
      </w:r>
      <w:r w:rsidR="00696E62">
        <w:rPr>
          <w:u w:val="single"/>
          <w:lang w:val="hr-HR"/>
        </w:rPr>
        <w:t xml:space="preserve">izvršene su izmjene i dopune MSFI-ja 9 i MSFI-ja 7, uvodeći nove zahtjeve u pogledu objavljivanja </w:t>
      </w:r>
      <w:r w:rsidR="000B5C34">
        <w:rPr>
          <w:u w:val="single"/>
          <w:lang w:val="hr-HR"/>
        </w:rPr>
        <w:t>u tačke od 30.A do 30.C MSFI-ja 7</w:t>
      </w:r>
      <w:r w:rsidR="000B5C34" w:rsidRPr="00EF5D0A">
        <w:rPr>
          <w:u w:val="single"/>
          <w:lang w:val="hr-HR"/>
        </w:rPr>
        <w:t>.</w:t>
      </w:r>
      <w:r w:rsidR="002E545F">
        <w:rPr>
          <w:u w:val="single"/>
          <w:lang w:val="hr-HR"/>
        </w:rPr>
        <w:t xml:space="preserve"> Tim izmjenama su dodate tačke od 64.A do 64.C i izvršene izmjene i dopune tačke 42. ovog </w:t>
      </w:r>
      <w:r w:rsidR="00696E62">
        <w:rPr>
          <w:u w:val="single"/>
          <w:lang w:val="hr-HR"/>
        </w:rPr>
        <w:t>S</w:t>
      </w:r>
      <w:r w:rsidR="002E545F">
        <w:rPr>
          <w:u w:val="single"/>
          <w:lang w:val="hr-HR"/>
        </w:rPr>
        <w:t xml:space="preserve">tandarda. U skladu s podtačkom (c) tačke 4. ovog </w:t>
      </w:r>
      <w:r w:rsidR="00696E62">
        <w:rPr>
          <w:u w:val="single"/>
          <w:lang w:val="hr-HR"/>
        </w:rPr>
        <w:t>S</w:t>
      </w:r>
      <w:r w:rsidR="002E545F">
        <w:rPr>
          <w:u w:val="single"/>
          <w:lang w:val="hr-HR"/>
        </w:rPr>
        <w:t xml:space="preserve">tandarda, </w:t>
      </w:r>
      <w:r w:rsidR="00696E62">
        <w:rPr>
          <w:u w:val="single"/>
          <w:lang w:val="hr-HR"/>
        </w:rPr>
        <w:t xml:space="preserve">prijelazni zahtjevi u odnosu na tačke od 64.A do 64.C su dati </w:t>
      </w:r>
      <w:r w:rsidR="002E545F">
        <w:rPr>
          <w:u w:val="single"/>
          <w:lang w:val="hr-HR"/>
        </w:rPr>
        <w:t xml:space="preserve">u tačkama od 44.OO do 44.PP MSFI-ja </w:t>
      </w:r>
      <w:r w:rsidR="00696E62">
        <w:rPr>
          <w:u w:val="single"/>
          <w:lang w:val="hr-HR"/>
        </w:rPr>
        <w:t>7</w:t>
      </w:r>
      <w:r w:rsidR="002E545F">
        <w:rPr>
          <w:u w:val="single"/>
          <w:lang w:val="hr-HR"/>
        </w:rPr>
        <w:t xml:space="preserve">. </w:t>
      </w:r>
      <w:r w:rsidR="000B5C34">
        <w:rPr>
          <w:u w:val="single"/>
          <w:lang w:val="hr-HR"/>
        </w:rPr>
        <w:t xml:space="preserve">Subjekt te </w:t>
      </w:r>
      <w:r w:rsidR="00EE2704">
        <w:rPr>
          <w:u w:val="single"/>
          <w:lang w:val="hr-HR"/>
        </w:rPr>
        <w:t>zahtjeve</w:t>
      </w:r>
      <w:r w:rsidR="000B5C34">
        <w:rPr>
          <w:u w:val="single"/>
          <w:lang w:val="hr-HR"/>
        </w:rPr>
        <w:t xml:space="preserve"> treba primjenjivati kada primjenjuje izmjene i dopune MSFI-ja </w:t>
      </w:r>
      <w:r w:rsidR="000B5C34" w:rsidRPr="00EF5D0A">
        <w:rPr>
          <w:u w:val="single"/>
          <w:lang w:val="hr-HR"/>
        </w:rPr>
        <w:t xml:space="preserve">9. </w:t>
      </w:r>
      <w:r w:rsidR="002E545F">
        <w:rPr>
          <w:u w:val="single"/>
          <w:lang w:val="hr-HR"/>
        </w:rPr>
        <w:t xml:space="preserve">Izmjene i dopune MSFI-ja 9 i MSFI-ja 7 važe za godišnje izvještajne periode koji počinju na </w:t>
      </w:r>
      <w:r w:rsidR="00992611">
        <w:rPr>
          <w:u w:val="single"/>
          <w:lang w:val="hr-HR"/>
        </w:rPr>
        <w:t xml:space="preserve">dan </w:t>
      </w:r>
      <w:r w:rsidR="002E545F">
        <w:rPr>
          <w:u w:val="single"/>
          <w:lang w:val="hr-HR"/>
        </w:rPr>
        <w:t>1. januara 2026. godin</w:t>
      </w:r>
      <w:r w:rsidR="00992611">
        <w:rPr>
          <w:u w:val="single"/>
          <w:lang w:val="hr-HR"/>
        </w:rPr>
        <w:t>e</w:t>
      </w:r>
      <w:r w:rsidR="002E545F">
        <w:rPr>
          <w:u w:val="single"/>
          <w:lang w:val="hr-HR"/>
        </w:rPr>
        <w:t xml:space="preserve"> ili kasnije a dopuštena je i njihova ranija primjena. Ako subjekt primijeni ovaj </w:t>
      </w:r>
      <w:r w:rsidR="00EE2704">
        <w:rPr>
          <w:u w:val="single"/>
          <w:lang w:val="hr-HR"/>
        </w:rPr>
        <w:t>S</w:t>
      </w:r>
      <w:r w:rsidR="002E545F">
        <w:rPr>
          <w:u w:val="single"/>
          <w:lang w:val="hr-HR"/>
        </w:rPr>
        <w:t xml:space="preserve">tandard na godišnji izvještajni period koji počinje prije 1. januara 2026. godine a nije ranije primijenio izmjene i dopune MSFI-ja 9, ne treba primjenjivati tačke od 64.A do 64.C. </w:t>
      </w:r>
    </w:p>
    <w:p w14:paraId="51A0AB34" w14:textId="6E46D2E0" w:rsidR="00014FB0" w:rsidRPr="00EF5D0A" w:rsidRDefault="00EE2704">
      <w:pPr>
        <w:pStyle w:val="IASBSectionTitle1NonInd"/>
        <w:rPr>
          <w:lang w:val="hr-HR"/>
        </w:rPr>
      </w:pPr>
      <w:bookmarkStart w:id="23" w:name="unique_9"/>
      <w:r>
        <w:rPr>
          <w:lang w:val="hr-HR"/>
        </w:rPr>
        <w:lastRenderedPageBreak/>
        <w:t>Odobrenje</w:t>
      </w:r>
      <w:r w:rsidR="008D0462">
        <w:rPr>
          <w:lang w:val="hr-HR"/>
        </w:rPr>
        <w:t xml:space="preserve"> </w:t>
      </w:r>
      <w:r w:rsidRPr="00EE2704">
        <w:rPr>
          <w:i/>
          <w:iCs/>
          <w:lang w:val="hr-HR"/>
        </w:rPr>
        <w:t>IASB</w:t>
      </w:r>
      <w:r>
        <w:rPr>
          <w:lang w:val="hr-HR"/>
        </w:rPr>
        <w:t xml:space="preserve">-a za </w:t>
      </w:r>
      <w:r w:rsidR="008D0462">
        <w:rPr>
          <w:lang w:val="hr-HR"/>
        </w:rPr>
        <w:t xml:space="preserve">dokument </w:t>
      </w:r>
      <w:r w:rsidR="00DF65E9">
        <w:rPr>
          <w:i/>
          <w:lang w:val="hr-HR"/>
        </w:rPr>
        <w:t xml:space="preserve">Ugovori </w:t>
      </w:r>
      <w:r w:rsidR="00992611">
        <w:rPr>
          <w:i/>
          <w:lang w:val="hr-HR"/>
        </w:rPr>
        <w:t>o</w:t>
      </w:r>
      <w:r w:rsidR="00DF65E9">
        <w:rPr>
          <w:i/>
          <w:lang w:val="hr-HR"/>
        </w:rPr>
        <w:t xml:space="preserve"> električn</w:t>
      </w:r>
      <w:r w:rsidR="00992611">
        <w:rPr>
          <w:i/>
          <w:lang w:val="hr-HR"/>
        </w:rPr>
        <w:t>oj</w:t>
      </w:r>
      <w:r w:rsidR="00DF65E9">
        <w:rPr>
          <w:i/>
          <w:lang w:val="hr-HR"/>
        </w:rPr>
        <w:t xml:space="preserve"> energij</w:t>
      </w:r>
      <w:r w:rsidR="00992611">
        <w:rPr>
          <w:i/>
          <w:lang w:val="hr-HR"/>
        </w:rPr>
        <w:t xml:space="preserve">i </w:t>
      </w:r>
      <w:r w:rsidR="00DF65E9">
        <w:rPr>
          <w:i/>
          <w:lang w:val="hr-HR"/>
        </w:rPr>
        <w:t>iz izvora zavisnih od prirodnih uslova</w:t>
      </w:r>
      <w:r w:rsidR="008D0462">
        <w:rPr>
          <w:i/>
          <w:lang w:val="hr-HR"/>
        </w:rPr>
        <w:t xml:space="preserve"> </w:t>
      </w:r>
      <w:r w:rsidR="001C3CBD" w:rsidRPr="00EF5D0A">
        <w:rPr>
          <w:lang w:val="hr-HR"/>
        </w:rPr>
        <w:t>i</w:t>
      </w:r>
      <w:r w:rsidR="008D0462">
        <w:rPr>
          <w:lang w:val="hr-HR"/>
        </w:rPr>
        <w:t xml:space="preserve">zdatog u decembru </w:t>
      </w:r>
      <w:r w:rsidR="001C3CBD" w:rsidRPr="00EF5D0A">
        <w:rPr>
          <w:lang w:val="hr-HR"/>
        </w:rPr>
        <w:t>2024</w:t>
      </w:r>
      <w:bookmarkEnd w:id="23"/>
      <w:r w:rsidR="008D0462">
        <w:rPr>
          <w:lang w:val="hr-HR"/>
        </w:rPr>
        <w:t>. godine</w:t>
      </w:r>
    </w:p>
    <w:p w14:paraId="1BD4C77B" w14:textId="4074AFB9" w:rsidR="00014FB0" w:rsidRPr="00EF5D0A" w:rsidRDefault="008D0462">
      <w:pPr>
        <w:pStyle w:val="IASBNormal"/>
        <w:rPr>
          <w:lang w:val="hr-HR"/>
        </w:rPr>
      </w:pPr>
      <w:r>
        <w:rPr>
          <w:iCs/>
          <w:lang w:val="hr-HR"/>
        </w:rPr>
        <w:t>Izdavanje d</w:t>
      </w:r>
      <w:r w:rsidR="00611E79" w:rsidRPr="00611E79">
        <w:rPr>
          <w:iCs/>
          <w:lang w:val="hr-HR"/>
        </w:rPr>
        <w:t>okument</w:t>
      </w:r>
      <w:r>
        <w:rPr>
          <w:iCs/>
          <w:lang w:val="hr-HR"/>
        </w:rPr>
        <w:t>a</w:t>
      </w:r>
      <w:r w:rsidR="00611E79" w:rsidRPr="00611E79">
        <w:rPr>
          <w:iCs/>
          <w:lang w:val="hr-HR"/>
        </w:rPr>
        <w:t xml:space="preserve"> </w:t>
      </w:r>
      <w:r w:rsidR="00DF65E9">
        <w:rPr>
          <w:i/>
          <w:lang w:val="hr-HR"/>
        </w:rPr>
        <w:t xml:space="preserve">Ugovori </w:t>
      </w:r>
      <w:r w:rsidR="00992611">
        <w:rPr>
          <w:i/>
          <w:lang w:val="hr-HR"/>
        </w:rPr>
        <w:t>o</w:t>
      </w:r>
      <w:r w:rsidR="00DF65E9">
        <w:rPr>
          <w:i/>
          <w:lang w:val="hr-HR"/>
        </w:rPr>
        <w:t xml:space="preserve"> električn</w:t>
      </w:r>
      <w:r w:rsidR="00992611">
        <w:rPr>
          <w:i/>
          <w:lang w:val="hr-HR"/>
        </w:rPr>
        <w:t>oj</w:t>
      </w:r>
      <w:r w:rsidR="00DF65E9">
        <w:rPr>
          <w:i/>
          <w:lang w:val="hr-HR"/>
        </w:rPr>
        <w:t xml:space="preserve"> energij</w:t>
      </w:r>
      <w:r w:rsidR="00992611">
        <w:rPr>
          <w:i/>
          <w:lang w:val="hr-HR"/>
        </w:rPr>
        <w:t>i</w:t>
      </w:r>
      <w:r w:rsidR="00DF65E9">
        <w:rPr>
          <w:i/>
          <w:lang w:val="hr-HR"/>
        </w:rPr>
        <w:t xml:space="preserve"> iz izvora zavisnih od prirodnih uslova</w:t>
      </w:r>
      <w:r w:rsidR="001C3CBD" w:rsidRPr="00EF5D0A">
        <w:rPr>
          <w:lang w:val="hr-HR"/>
        </w:rPr>
        <w:t xml:space="preserve"> </w:t>
      </w:r>
      <w:r>
        <w:rPr>
          <w:lang w:val="hr-HR"/>
        </w:rPr>
        <w:t xml:space="preserve">je odobrilo dvanaest (12) od četrnaest (14) članova Odbora za međunarodne računovodstvene standarde /engl. </w:t>
      </w:r>
      <w:r w:rsidR="001C3CBD" w:rsidRPr="008D0462">
        <w:rPr>
          <w:i/>
          <w:iCs/>
          <w:lang w:val="hr-HR"/>
        </w:rPr>
        <w:t xml:space="preserve">International Accounting Standards Board </w:t>
      </w:r>
      <w:r w:rsidRPr="008D0462">
        <w:rPr>
          <w:i/>
          <w:iCs/>
          <w:lang w:val="hr-HR"/>
        </w:rPr>
        <w:t xml:space="preserve">– </w:t>
      </w:r>
      <w:r w:rsidR="001C3CBD" w:rsidRPr="008D0462">
        <w:rPr>
          <w:i/>
          <w:iCs/>
          <w:lang w:val="hr-HR"/>
        </w:rPr>
        <w:t>IASB</w:t>
      </w:r>
      <w:r>
        <w:rPr>
          <w:lang w:val="hr-HR"/>
        </w:rPr>
        <w:t>/</w:t>
      </w:r>
      <w:r w:rsidR="001C3CBD" w:rsidRPr="00EF5D0A">
        <w:rPr>
          <w:lang w:val="hr-HR"/>
        </w:rPr>
        <w:t xml:space="preserve">. </w:t>
      </w:r>
      <w:r>
        <w:rPr>
          <w:lang w:val="hr-HR"/>
        </w:rPr>
        <w:t>G</w:t>
      </w:r>
      <w:r w:rsidR="00082882">
        <w:rPr>
          <w:lang w:val="hr-HR"/>
        </w:rPr>
        <w:t>g.</w:t>
      </w:r>
      <w:r>
        <w:rPr>
          <w:lang w:val="hr-HR"/>
        </w:rPr>
        <w:t xml:space="preserve"> </w:t>
      </w:r>
      <w:r w:rsidR="001C3CBD" w:rsidRPr="00EF5D0A">
        <w:rPr>
          <w:lang w:val="hr-HR"/>
        </w:rPr>
        <w:t xml:space="preserve">Mackenzie </w:t>
      </w:r>
      <w:r>
        <w:rPr>
          <w:lang w:val="hr-HR"/>
        </w:rPr>
        <w:t>i</w:t>
      </w:r>
      <w:r w:rsidR="001C3CBD" w:rsidRPr="00EF5D0A">
        <w:rPr>
          <w:lang w:val="hr-HR"/>
        </w:rPr>
        <w:t xml:space="preserve"> Uhl </w:t>
      </w:r>
      <w:r>
        <w:rPr>
          <w:lang w:val="hr-HR"/>
        </w:rPr>
        <w:t>s</w:t>
      </w:r>
      <w:r w:rsidR="00082882">
        <w:rPr>
          <w:lang w:val="hr-HR"/>
        </w:rPr>
        <w:t>u bili protiv</w:t>
      </w:r>
      <w:r>
        <w:rPr>
          <w:lang w:val="hr-HR"/>
        </w:rPr>
        <w:t xml:space="preserve"> </w:t>
      </w:r>
      <w:r w:rsidR="00AD5E4C">
        <w:rPr>
          <w:lang w:val="hr-HR"/>
        </w:rPr>
        <w:t>izdavanj</w:t>
      </w:r>
      <w:r w:rsidR="00082882">
        <w:rPr>
          <w:lang w:val="hr-HR"/>
        </w:rPr>
        <w:t>a</w:t>
      </w:r>
      <w:r w:rsidR="00AD5E4C">
        <w:rPr>
          <w:lang w:val="hr-HR"/>
        </w:rPr>
        <w:t xml:space="preserve"> predmetnih izmjena i dopuna. Njihov stav je dat nakon Osnova za donošenje zaključaka </w:t>
      </w:r>
      <w:r w:rsidR="007371BA">
        <w:rPr>
          <w:lang w:val="hr-HR"/>
        </w:rPr>
        <w:t>za</w:t>
      </w:r>
      <w:r w:rsidR="00AD5E4C">
        <w:rPr>
          <w:lang w:val="hr-HR"/>
        </w:rPr>
        <w:t xml:space="preserve"> MSFI </w:t>
      </w:r>
      <w:r w:rsidR="001C57F1">
        <w:rPr>
          <w:lang w:val="hr-HR"/>
        </w:rPr>
        <w:t xml:space="preserve">9 </w:t>
      </w:r>
      <w:r w:rsidR="001C3CBD" w:rsidRPr="00EF5D0A">
        <w:rPr>
          <w:i/>
          <w:lang w:val="hr-HR"/>
        </w:rPr>
        <w:t>Finan</w:t>
      </w:r>
      <w:r w:rsidR="00AD5E4C">
        <w:rPr>
          <w:i/>
          <w:lang w:val="hr-HR"/>
        </w:rPr>
        <w:t>sij</w:t>
      </w:r>
      <w:r w:rsidR="00082882">
        <w:rPr>
          <w:i/>
          <w:lang w:val="hr-HR"/>
        </w:rPr>
        <w:t>s</w:t>
      </w:r>
      <w:r w:rsidR="00AD5E4C">
        <w:rPr>
          <w:i/>
          <w:lang w:val="hr-HR"/>
        </w:rPr>
        <w:t>ki instrumenti</w:t>
      </w:r>
      <w:r w:rsidR="001C3CBD" w:rsidRPr="00EF5D0A">
        <w:rPr>
          <w:lang w:val="hr-HR"/>
        </w:rPr>
        <w:t>.</w:t>
      </w:r>
    </w:p>
    <w:p w14:paraId="4CF56824" w14:textId="1F6CD22A" w:rsidR="00014FB0" w:rsidRPr="00EF5D0A" w:rsidRDefault="001C3CBD">
      <w:pPr>
        <w:pStyle w:val="IASBNormal"/>
        <w:rPr>
          <w:lang w:val="hr-HR"/>
        </w:rPr>
      </w:pPr>
      <w:r w:rsidRPr="00EF5D0A">
        <w:rPr>
          <w:lang w:val="hr-HR"/>
        </w:rPr>
        <w:t>Andreas Barckow</w:t>
      </w:r>
      <w:r w:rsidRPr="00EF5D0A">
        <w:rPr>
          <w:lang w:val="hr-HR"/>
        </w:rPr>
        <w:tab/>
      </w:r>
      <w:r w:rsidR="00AD5E4C">
        <w:rPr>
          <w:lang w:val="hr-HR"/>
        </w:rPr>
        <w:t>predsjedavajući</w:t>
      </w:r>
    </w:p>
    <w:p w14:paraId="7DA8F83A" w14:textId="7983941B" w:rsidR="00014FB0" w:rsidRPr="00EF5D0A" w:rsidRDefault="001C3CBD">
      <w:pPr>
        <w:pStyle w:val="IASBNormal"/>
        <w:rPr>
          <w:lang w:val="hr-HR"/>
        </w:rPr>
      </w:pPr>
      <w:r w:rsidRPr="00EF5D0A">
        <w:rPr>
          <w:lang w:val="hr-HR"/>
        </w:rPr>
        <w:t>Linda Mezon-Hutter</w:t>
      </w:r>
      <w:r w:rsidRPr="00EF5D0A">
        <w:rPr>
          <w:lang w:val="hr-HR"/>
        </w:rPr>
        <w:tab/>
      </w:r>
      <w:r w:rsidR="00AD5E4C">
        <w:rPr>
          <w:lang w:val="hr-HR"/>
        </w:rPr>
        <w:t xml:space="preserve">dopredsjedavajući </w:t>
      </w:r>
    </w:p>
    <w:p w14:paraId="5647D064" w14:textId="77777777" w:rsidR="00014FB0" w:rsidRPr="00EF5D0A" w:rsidRDefault="001C3CBD">
      <w:pPr>
        <w:pStyle w:val="IASBNormal"/>
        <w:rPr>
          <w:lang w:val="hr-HR"/>
        </w:rPr>
      </w:pPr>
      <w:r w:rsidRPr="00EF5D0A">
        <w:rPr>
          <w:lang w:val="hr-HR"/>
        </w:rPr>
        <w:t>Nick Anderson</w:t>
      </w:r>
    </w:p>
    <w:p w14:paraId="1C1267F8" w14:textId="77777777" w:rsidR="00014FB0" w:rsidRPr="00EF5D0A" w:rsidRDefault="001C3CBD">
      <w:pPr>
        <w:pStyle w:val="IASBNormal"/>
        <w:rPr>
          <w:lang w:val="hr-HR"/>
        </w:rPr>
      </w:pPr>
      <w:r w:rsidRPr="00EF5D0A">
        <w:rPr>
          <w:lang w:val="hr-HR"/>
        </w:rPr>
        <w:t>Patrina Buchanan</w:t>
      </w:r>
    </w:p>
    <w:p w14:paraId="092B4E31" w14:textId="77777777" w:rsidR="00014FB0" w:rsidRPr="00EF5D0A" w:rsidRDefault="001C3CBD">
      <w:pPr>
        <w:pStyle w:val="IASBNormal"/>
        <w:rPr>
          <w:lang w:val="hr-HR"/>
        </w:rPr>
      </w:pPr>
      <w:r w:rsidRPr="00EF5D0A">
        <w:rPr>
          <w:lang w:val="hr-HR"/>
        </w:rPr>
        <w:t>Tadeu Cendon</w:t>
      </w:r>
    </w:p>
    <w:p w14:paraId="5D637103" w14:textId="77777777" w:rsidR="00014FB0" w:rsidRPr="00EF5D0A" w:rsidRDefault="001C3CBD">
      <w:pPr>
        <w:pStyle w:val="IASBNormal"/>
        <w:rPr>
          <w:lang w:val="hr-HR"/>
        </w:rPr>
      </w:pPr>
      <w:r w:rsidRPr="00EF5D0A">
        <w:rPr>
          <w:lang w:val="hr-HR"/>
        </w:rPr>
        <w:t>Florian Esterer</w:t>
      </w:r>
    </w:p>
    <w:p w14:paraId="4AF3574E" w14:textId="77777777" w:rsidR="00014FB0" w:rsidRPr="00EF5D0A" w:rsidRDefault="001C3CBD">
      <w:pPr>
        <w:pStyle w:val="IASBNormal"/>
        <w:rPr>
          <w:lang w:val="hr-HR"/>
        </w:rPr>
      </w:pPr>
      <w:r w:rsidRPr="00EF5D0A">
        <w:rPr>
          <w:lang w:val="hr-HR"/>
        </w:rPr>
        <w:t>Zach Gast</w:t>
      </w:r>
    </w:p>
    <w:p w14:paraId="746935A8" w14:textId="77777777" w:rsidR="00014FB0" w:rsidRPr="00EF5D0A" w:rsidRDefault="001C3CBD">
      <w:pPr>
        <w:pStyle w:val="IASBNormal"/>
        <w:rPr>
          <w:lang w:val="hr-HR"/>
        </w:rPr>
      </w:pPr>
      <w:r w:rsidRPr="00EF5D0A">
        <w:rPr>
          <w:lang w:val="hr-HR"/>
        </w:rPr>
        <w:t>Hagit Keren</w:t>
      </w:r>
    </w:p>
    <w:p w14:paraId="033C6492" w14:textId="77777777" w:rsidR="00014FB0" w:rsidRPr="00EF5D0A" w:rsidRDefault="001C3CBD">
      <w:pPr>
        <w:pStyle w:val="IASBNormal"/>
        <w:rPr>
          <w:lang w:val="hr-HR"/>
        </w:rPr>
      </w:pPr>
      <w:r w:rsidRPr="00EF5D0A">
        <w:rPr>
          <w:lang w:val="hr-HR"/>
        </w:rPr>
        <w:t>Jianqiao Lu</w:t>
      </w:r>
    </w:p>
    <w:p w14:paraId="3EEAF64D" w14:textId="77777777" w:rsidR="00014FB0" w:rsidRPr="00EF5D0A" w:rsidRDefault="001C3CBD">
      <w:pPr>
        <w:pStyle w:val="IASBNormal"/>
        <w:rPr>
          <w:lang w:val="hr-HR"/>
        </w:rPr>
      </w:pPr>
      <w:r w:rsidRPr="00EF5D0A">
        <w:rPr>
          <w:lang w:val="hr-HR"/>
        </w:rPr>
        <w:t>Bruce Mackenzie</w:t>
      </w:r>
    </w:p>
    <w:p w14:paraId="56F7C9D5" w14:textId="77777777" w:rsidR="00014FB0" w:rsidRPr="00EF5D0A" w:rsidRDefault="001C3CBD">
      <w:pPr>
        <w:pStyle w:val="IASBNormal"/>
        <w:rPr>
          <w:lang w:val="hr-HR"/>
        </w:rPr>
      </w:pPr>
      <w:r w:rsidRPr="00EF5D0A">
        <w:rPr>
          <w:lang w:val="hr-HR"/>
        </w:rPr>
        <w:t>Bertrand Perrin</w:t>
      </w:r>
    </w:p>
    <w:p w14:paraId="7B06C365" w14:textId="77777777" w:rsidR="00014FB0" w:rsidRPr="00EF5D0A" w:rsidRDefault="001C3CBD">
      <w:pPr>
        <w:pStyle w:val="IASBNormal"/>
        <w:rPr>
          <w:lang w:val="hr-HR"/>
        </w:rPr>
      </w:pPr>
      <w:r w:rsidRPr="00EF5D0A">
        <w:rPr>
          <w:lang w:val="hr-HR"/>
        </w:rPr>
        <w:t>Rika Suzuki</w:t>
      </w:r>
    </w:p>
    <w:p w14:paraId="4D8303C9" w14:textId="77777777" w:rsidR="00014FB0" w:rsidRPr="00EF5D0A" w:rsidRDefault="001C3CBD">
      <w:pPr>
        <w:pStyle w:val="IASBNormal"/>
        <w:rPr>
          <w:lang w:val="hr-HR"/>
        </w:rPr>
      </w:pPr>
      <w:r w:rsidRPr="00EF5D0A">
        <w:rPr>
          <w:lang w:val="hr-HR"/>
        </w:rPr>
        <w:t>Ann Tarca</w:t>
      </w:r>
    </w:p>
    <w:p w14:paraId="363506DE" w14:textId="77777777" w:rsidR="00014FB0" w:rsidRPr="00EF5D0A" w:rsidRDefault="001C3CBD">
      <w:pPr>
        <w:pStyle w:val="IASBNormal"/>
        <w:rPr>
          <w:lang w:val="hr-HR"/>
        </w:rPr>
      </w:pPr>
      <w:r w:rsidRPr="00EF5D0A">
        <w:rPr>
          <w:lang w:val="hr-HR"/>
        </w:rPr>
        <w:t>Robert Uhl</w:t>
      </w:r>
    </w:p>
    <w:p w14:paraId="2B554C1D" w14:textId="77777777" w:rsidR="00014FB0" w:rsidRPr="00EF5D0A" w:rsidRDefault="00014FB0">
      <w:pPr>
        <w:pStyle w:val="SectionEnd"/>
        <w:rPr>
          <w:lang w:val="hr-HR"/>
        </w:rPr>
        <w:sectPr w:rsidR="00014FB0" w:rsidRPr="00EF5D0A">
          <w:headerReference w:type="even" r:id="rId34"/>
          <w:headerReference w:type="default" r:id="rId35"/>
          <w:footerReference w:type="even" r:id="rId36"/>
          <w:footerReference w:type="default" r:id="rId37"/>
          <w:pgSz w:w="11895" w:h="16834"/>
          <w:pgMar w:top="1440" w:right="1440" w:bottom="1440" w:left="1440" w:header="720" w:footer="720" w:gutter="0"/>
          <w:cols w:space="720"/>
        </w:sectPr>
      </w:pPr>
    </w:p>
    <w:p w14:paraId="0255C9BC" w14:textId="15E1706D" w:rsidR="00014FB0" w:rsidRPr="00EF5D0A" w:rsidRDefault="00612348" w:rsidP="002E15BE">
      <w:pPr>
        <w:pStyle w:val="IASBSectionTitle2NonInd"/>
        <w:spacing w:before="140"/>
        <w:rPr>
          <w:lang w:val="hr-HR"/>
        </w:rPr>
      </w:pPr>
      <w:bookmarkStart w:id="24" w:name="unique_10"/>
      <w:r>
        <w:rPr>
          <w:lang w:val="hr-HR"/>
        </w:rPr>
        <w:lastRenderedPageBreak/>
        <w:t xml:space="preserve">Izmjene i dopune pokaznih primjera za MSFI 9 </w:t>
      </w:r>
      <w:r w:rsidR="001C3CBD" w:rsidRPr="00EF5D0A">
        <w:rPr>
          <w:i/>
          <w:lang w:val="hr-HR"/>
        </w:rPr>
        <w:t>Finan</w:t>
      </w:r>
      <w:r>
        <w:rPr>
          <w:i/>
          <w:lang w:val="hr-HR"/>
        </w:rPr>
        <w:t>s</w:t>
      </w:r>
      <w:r w:rsidR="001C3CBD" w:rsidRPr="00EF5D0A">
        <w:rPr>
          <w:i/>
          <w:lang w:val="hr-HR"/>
        </w:rPr>
        <w:t>i</w:t>
      </w:r>
      <w:r>
        <w:rPr>
          <w:i/>
          <w:lang w:val="hr-HR"/>
        </w:rPr>
        <w:t>jski i</w:t>
      </w:r>
      <w:r w:rsidR="001C3CBD" w:rsidRPr="00EF5D0A">
        <w:rPr>
          <w:i/>
          <w:lang w:val="hr-HR"/>
        </w:rPr>
        <w:t>nstrument</w:t>
      </w:r>
      <w:bookmarkEnd w:id="24"/>
      <w:r>
        <w:rPr>
          <w:i/>
          <w:lang w:val="hr-HR"/>
        </w:rPr>
        <w:t>i</w:t>
      </w:r>
    </w:p>
    <w:p w14:paraId="3028D291" w14:textId="77777777" w:rsidR="00014FB0" w:rsidRPr="002E15BE" w:rsidRDefault="00014FB0">
      <w:pPr>
        <w:pStyle w:val="IASBNormalnpara"/>
        <w:rPr>
          <w:sz w:val="12"/>
          <w:szCs w:val="12"/>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014FB0" w:rsidRPr="00954FC1" w14:paraId="37B9EDE8" w14:textId="77777777">
        <w:tc>
          <w:tcPr>
            <w:tcW w:w="50" w:type="pct"/>
            <w:tcBorders>
              <w:bottom w:val="single" w:sz="0" w:space="0" w:color="auto"/>
              <w:right w:val="single" w:sz="0" w:space="0" w:color="auto"/>
            </w:tcBorders>
          </w:tcPr>
          <w:p w14:paraId="2922D108" w14:textId="3818C2A7" w:rsidR="00014FB0" w:rsidRPr="00EF5D0A" w:rsidRDefault="00612348">
            <w:pPr>
              <w:pStyle w:val="IASBTableArial"/>
              <w:rPr>
                <w:lang w:val="hr-HR"/>
              </w:rPr>
            </w:pPr>
            <w:r>
              <w:rPr>
                <w:lang w:val="hr-HR"/>
              </w:rPr>
              <w:t>Uvedene su tačke od PP</w:t>
            </w:r>
            <w:r w:rsidR="00082882">
              <w:rPr>
                <w:lang w:val="hr-HR"/>
              </w:rPr>
              <w:t>.</w:t>
            </w:r>
            <w:r w:rsidR="001C3CBD" w:rsidRPr="00EF5D0A">
              <w:rPr>
                <w:lang w:val="hr-HR"/>
              </w:rPr>
              <w:t>148</w:t>
            </w:r>
            <w:r>
              <w:rPr>
                <w:lang w:val="hr-HR"/>
              </w:rPr>
              <w:t>. do PP</w:t>
            </w:r>
            <w:r w:rsidR="00082882">
              <w:rPr>
                <w:lang w:val="hr-HR"/>
              </w:rPr>
              <w:t>.</w:t>
            </w:r>
            <w:r w:rsidR="001C3CBD" w:rsidRPr="00EF5D0A">
              <w:rPr>
                <w:lang w:val="hr-HR"/>
              </w:rPr>
              <w:t>159</w:t>
            </w:r>
            <w:r>
              <w:rPr>
                <w:lang w:val="hr-HR"/>
              </w:rPr>
              <w:t xml:space="preserve">. </w:t>
            </w:r>
            <w:r w:rsidR="00082882">
              <w:rPr>
                <w:lang w:val="hr-HR"/>
              </w:rPr>
              <w:t>s</w:t>
            </w:r>
            <w:r>
              <w:rPr>
                <w:lang w:val="hr-HR"/>
              </w:rPr>
              <w:t xml:space="preserve"> pripadajući</w:t>
            </w:r>
            <w:r w:rsidR="00082882">
              <w:rPr>
                <w:lang w:val="hr-HR"/>
              </w:rPr>
              <w:t>m</w:t>
            </w:r>
            <w:r>
              <w:rPr>
                <w:lang w:val="hr-HR"/>
              </w:rPr>
              <w:t xml:space="preserve"> podnaslovi</w:t>
            </w:r>
            <w:r w:rsidR="00082882">
              <w:rPr>
                <w:lang w:val="hr-HR"/>
              </w:rPr>
              <w:t>ma</w:t>
            </w:r>
            <w:r>
              <w:rPr>
                <w:lang w:val="hr-HR"/>
              </w:rPr>
              <w:t>. U funkciji bolje preglednosti, novi tekst nije podvučen</w:t>
            </w:r>
            <w:r w:rsidR="00082882">
              <w:rPr>
                <w:lang w:val="hr-HR"/>
              </w:rPr>
              <w:t xml:space="preserve"> ovdje</w:t>
            </w:r>
            <w:r>
              <w:rPr>
                <w:lang w:val="hr-HR"/>
              </w:rPr>
              <w:t xml:space="preserve">. </w:t>
            </w:r>
          </w:p>
        </w:tc>
      </w:tr>
    </w:tbl>
    <w:p w14:paraId="72E8BA7D" w14:textId="77777777" w:rsidR="00014FB0" w:rsidRPr="002E15BE" w:rsidRDefault="00014FB0">
      <w:pPr>
        <w:pStyle w:val="IASBNormalnpara"/>
        <w:rPr>
          <w:sz w:val="4"/>
          <w:szCs w:val="4"/>
          <w:lang w:val="hr-HR"/>
        </w:rPr>
      </w:pPr>
    </w:p>
    <w:p w14:paraId="65474C1D" w14:textId="7FCE124A" w:rsidR="00014FB0" w:rsidRPr="0044690B" w:rsidRDefault="0044690B">
      <w:pPr>
        <w:pStyle w:val="IASBSectionTitle1NonInd"/>
        <w:rPr>
          <w:lang w:val="hr-HR"/>
        </w:rPr>
      </w:pPr>
      <w:bookmarkStart w:id="25" w:name="unique_76"/>
      <w:r>
        <w:rPr>
          <w:lang w:val="hr-HR"/>
        </w:rPr>
        <w:t xml:space="preserve">Računovodstvo zaštite za ugovore </w:t>
      </w:r>
      <w:r w:rsidR="00E669CD">
        <w:rPr>
          <w:lang w:val="hr-HR"/>
        </w:rPr>
        <w:t xml:space="preserve">o </w:t>
      </w:r>
      <w:r>
        <w:rPr>
          <w:lang w:val="hr-HR"/>
        </w:rPr>
        <w:t>električn</w:t>
      </w:r>
      <w:r w:rsidR="00E669CD">
        <w:rPr>
          <w:lang w:val="hr-HR"/>
        </w:rPr>
        <w:t>oj</w:t>
      </w:r>
      <w:r>
        <w:rPr>
          <w:lang w:val="hr-HR"/>
        </w:rPr>
        <w:t xml:space="preserve"> energij</w:t>
      </w:r>
      <w:r w:rsidR="00E669CD">
        <w:rPr>
          <w:lang w:val="hr-HR"/>
        </w:rPr>
        <w:t>i</w:t>
      </w:r>
      <w:r>
        <w:rPr>
          <w:lang w:val="hr-HR"/>
        </w:rPr>
        <w:t xml:space="preserve"> iz izvora</w:t>
      </w:r>
      <w:r w:rsidR="00E669CD">
        <w:rPr>
          <w:lang w:val="hr-HR"/>
        </w:rPr>
        <w:t xml:space="preserve"> zavisnih od prirodnih uslova</w:t>
      </w:r>
      <w:r>
        <w:rPr>
          <w:lang w:val="hr-HR"/>
        </w:rPr>
        <w:t xml:space="preserve"> </w:t>
      </w:r>
      <w:bookmarkEnd w:id="25"/>
    </w:p>
    <w:p w14:paraId="7B3FD45D" w14:textId="298B0B55" w:rsidR="00014FB0" w:rsidRPr="00EF5D0A" w:rsidRDefault="00AD5E4C">
      <w:pPr>
        <w:pStyle w:val="IASBNormalnpara"/>
        <w:rPr>
          <w:lang w:val="hr-HR"/>
        </w:rPr>
      </w:pPr>
      <w:r>
        <w:rPr>
          <w:lang w:val="hr-HR"/>
        </w:rPr>
        <w:t>PP</w:t>
      </w:r>
      <w:r w:rsidR="00E669CD">
        <w:rPr>
          <w:lang w:val="hr-HR"/>
        </w:rPr>
        <w:t>.</w:t>
      </w:r>
      <w:r w:rsidR="001C3CBD" w:rsidRPr="00EF5D0A">
        <w:rPr>
          <w:lang w:val="hr-HR"/>
        </w:rPr>
        <w:t>148</w:t>
      </w:r>
      <w:r>
        <w:rPr>
          <w:lang w:val="hr-HR"/>
        </w:rPr>
        <w:t>.</w:t>
      </w:r>
      <w:r w:rsidR="001C3CBD" w:rsidRPr="00EF5D0A">
        <w:rPr>
          <w:lang w:val="hr-HR"/>
        </w:rPr>
        <w:tab/>
      </w:r>
      <w:r w:rsidR="0044690B">
        <w:rPr>
          <w:lang w:val="hr-HR"/>
        </w:rPr>
        <w:t>U ovom primjeru se ilustruje jedan od mogućih načina na koj</w:t>
      </w:r>
      <w:r w:rsidR="000B36DC">
        <w:rPr>
          <w:lang w:val="hr-HR"/>
        </w:rPr>
        <w:t>i</w:t>
      </w:r>
      <w:r w:rsidR="0044690B">
        <w:rPr>
          <w:lang w:val="hr-HR"/>
        </w:rPr>
        <w:t xml:space="preserve"> subjekt može odrediti predviđene nabavke električne energije kao </w:t>
      </w:r>
      <w:r w:rsidR="000B36DC">
        <w:rPr>
          <w:lang w:val="hr-HR"/>
        </w:rPr>
        <w:t>zaštićene stavke</w:t>
      </w:r>
      <w:r w:rsidR="0044690B">
        <w:rPr>
          <w:lang w:val="hr-HR"/>
        </w:rPr>
        <w:t xml:space="preserve"> promjenjive nominalne vrijednosti u sklopu zaštite novčanog toka u skladu s</w:t>
      </w:r>
      <w:r w:rsidR="000B36DC">
        <w:rPr>
          <w:lang w:val="hr-HR"/>
        </w:rPr>
        <w:t>a</w:t>
      </w:r>
      <w:r w:rsidR="0044690B">
        <w:rPr>
          <w:lang w:val="hr-HR"/>
        </w:rPr>
        <w:t xml:space="preserve"> tačkom </w:t>
      </w:r>
      <w:r w:rsidR="001C3CBD" w:rsidRPr="00EF5D0A">
        <w:rPr>
          <w:lang w:val="hr-HR"/>
        </w:rPr>
        <w:t>6.10.</w:t>
      </w:r>
      <w:r w:rsidR="000B36DC">
        <w:rPr>
          <w:lang w:val="hr-HR"/>
        </w:rPr>
        <w:t xml:space="preserve">1 </w:t>
      </w:r>
      <w:r w:rsidR="0044690B">
        <w:rPr>
          <w:lang w:val="hr-HR"/>
        </w:rPr>
        <w:t>MSFI-ja</w:t>
      </w:r>
      <w:r w:rsidR="001C3CBD" w:rsidRPr="00EF5D0A">
        <w:rPr>
          <w:lang w:val="hr-HR"/>
        </w:rPr>
        <w:t xml:space="preserve"> 9.</w:t>
      </w:r>
    </w:p>
    <w:p w14:paraId="5AC30033" w14:textId="4807C10E" w:rsidR="00014FB0" w:rsidRPr="00EF5D0A" w:rsidRDefault="0044690B" w:rsidP="002E15BE">
      <w:pPr>
        <w:pStyle w:val="IASBSectionTitle1NonInd"/>
        <w:spacing w:before="300"/>
        <w:rPr>
          <w:lang w:val="hr-HR"/>
        </w:rPr>
      </w:pPr>
      <w:bookmarkStart w:id="26" w:name="unique_77"/>
      <w:r>
        <w:rPr>
          <w:lang w:val="hr-HR"/>
        </w:rPr>
        <w:t xml:space="preserve">Primjer 19: Određivanje promjenjive nominalne vrijednosti </w:t>
      </w:r>
      <w:r w:rsidR="006B510D">
        <w:rPr>
          <w:lang w:val="hr-HR"/>
        </w:rPr>
        <w:t>kod korištenja</w:t>
      </w:r>
      <w:r>
        <w:rPr>
          <w:lang w:val="hr-HR"/>
        </w:rPr>
        <w:t xml:space="preserve"> ugovor</w:t>
      </w:r>
      <w:r w:rsidR="006B510D">
        <w:rPr>
          <w:lang w:val="hr-HR"/>
        </w:rPr>
        <w:t>a</w:t>
      </w:r>
      <w:r>
        <w:rPr>
          <w:lang w:val="hr-HR"/>
        </w:rPr>
        <w:t xml:space="preserve"> </w:t>
      </w:r>
      <w:r w:rsidR="000B36DC">
        <w:rPr>
          <w:lang w:val="hr-HR"/>
        </w:rPr>
        <w:t xml:space="preserve">o </w:t>
      </w:r>
      <w:r>
        <w:rPr>
          <w:lang w:val="hr-HR"/>
        </w:rPr>
        <w:t>električn</w:t>
      </w:r>
      <w:r w:rsidR="000B36DC">
        <w:rPr>
          <w:lang w:val="hr-HR"/>
        </w:rPr>
        <w:t>oj</w:t>
      </w:r>
      <w:r>
        <w:rPr>
          <w:lang w:val="hr-HR"/>
        </w:rPr>
        <w:t xml:space="preserve"> energij</w:t>
      </w:r>
      <w:r w:rsidR="000B36DC">
        <w:rPr>
          <w:lang w:val="hr-HR"/>
        </w:rPr>
        <w:t>i</w:t>
      </w:r>
      <w:r>
        <w:rPr>
          <w:lang w:val="hr-HR"/>
        </w:rPr>
        <w:t xml:space="preserve"> iz </w:t>
      </w:r>
      <w:r w:rsidR="000B36DC">
        <w:rPr>
          <w:lang w:val="hr-HR"/>
        </w:rPr>
        <w:t xml:space="preserve">izvora zavisnih od </w:t>
      </w:r>
      <w:r>
        <w:rPr>
          <w:lang w:val="hr-HR"/>
        </w:rPr>
        <w:t xml:space="preserve">prirodnih </w:t>
      </w:r>
      <w:r w:rsidR="000B36DC">
        <w:rPr>
          <w:lang w:val="hr-HR"/>
        </w:rPr>
        <w:t>uslova</w:t>
      </w:r>
      <w:r>
        <w:rPr>
          <w:lang w:val="hr-HR"/>
        </w:rPr>
        <w:t xml:space="preserve"> </w:t>
      </w:r>
      <w:r w:rsidR="006B510D">
        <w:rPr>
          <w:lang w:val="hr-HR"/>
        </w:rPr>
        <w:t>kao instrumen</w:t>
      </w:r>
      <w:r w:rsidR="000B36DC">
        <w:rPr>
          <w:lang w:val="hr-HR"/>
        </w:rPr>
        <w:t>a</w:t>
      </w:r>
      <w:r w:rsidR="006B510D">
        <w:rPr>
          <w:lang w:val="hr-HR"/>
        </w:rPr>
        <w:t>ta zaštite</w:t>
      </w:r>
      <w:bookmarkEnd w:id="26"/>
    </w:p>
    <w:p w14:paraId="05EB8DA8" w14:textId="0CD50F44" w:rsidR="00014FB0" w:rsidRPr="00EF5D0A" w:rsidRDefault="000B36DC">
      <w:pPr>
        <w:pStyle w:val="IASBSectionTitle2Ind"/>
        <w:rPr>
          <w:lang w:val="hr-HR"/>
        </w:rPr>
      </w:pPr>
      <w:bookmarkStart w:id="27" w:name="unique_79"/>
      <w:r>
        <w:rPr>
          <w:lang w:val="hr-HR"/>
        </w:rPr>
        <w:t>Činjenično stanje</w:t>
      </w:r>
      <w:r w:rsidR="005D6C99">
        <w:rPr>
          <w:lang w:val="hr-HR"/>
        </w:rPr>
        <w:t xml:space="preserve"> </w:t>
      </w:r>
      <w:bookmarkEnd w:id="27"/>
    </w:p>
    <w:p w14:paraId="38A61370" w14:textId="71E0854B" w:rsidR="00014FB0" w:rsidRPr="00EF5D0A" w:rsidRDefault="006B510D" w:rsidP="002E15BE">
      <w:pPr>
        <w:pStyle w:val="IASBNormalnpara"/>
        <w:spacing w:before="80"/>
        <w:rPr>
          <w:lang w:val="hr-HR"/>
        </w:rPr>
      </w:pPr>
      <w:r>
        <w:rPr>
          <w:lang w:val="hr-HR"/>
        </w:rPr>
        <w:t>PP</w:t>
      </w:r>
      <w:r w:rsidR="00FC25EC">
        <w:rPr>
          <w:lang w:val="hr-HR"/>
        </w:rPr>
        <w:t>.</w:t>
      </w:r>
      <w:r w:rsidR="001C3CBD" w:rsidRPr="00EF5D0A">
        <w:rPr>
          <w:lang w:val="hr-HR"/>
        </w:rPr>
        <w:t>149</w:t>
      </w:r>
      <w:r>
        <w:rPr>
          <w:lang w:val="hr-HR"/>
        </w:rPr>
        <w:t>.</w:t>
      </w:r>
      <w:r w:rsidR="001C3CBD" w:rsidRPr="00EF5D0A">
        <w:rPr>
          <w:lang w:val="hr-HR"/>
        </w:rPr>
        <w:tab/>
      </w:r>
      <w:r w:rsidR="005D6C99">
        <w:rPr>
          <w:lang w:val="hr-HR"/>
        </w:rPr>
        <w:t xml:space="preserve">Subjekt A je proizvođač uređaja iz Prve regije koji električnu energiju nabavlja na tržištu te regije </w:t>
      </w:r>
      <w:r w:rsidR="005D3696">
        <w:rPr>
          <w:lang w:val="hr-HR"/>
        </w:rPr>
        <w:t xml:space="preserve">i to </w:t>
      </w:r>
      <w:r w:rsidR="005D6C99">
        <w:rPr>
          <w:lang w:val="hr-HR"/>
        </w:rPr>
        <w:t>po potrebi (</w:t>
      </w:r>
      <w:r w:rsidR="00FC25EC">
        <w:rPr>
          <w:lang w:val="hr-HR"/>
        </w:rPr>
        <w:t>to jeste,</w:t>
      </w:r>
      <w:r w:rsidR="005D6C99">
        <w:rPr>
          <w:lang w:val="hr-HR"/>
        </w:rPr>
        <w:t xml:space="preserve"> </w:t>
      </w:r>
      <w:r w:rsidR="00FC25EC">
        <w:rPr>
          <w:lang w:val="hr-HR"/>
        </w:rPr>
        <w:t>po viđenju</w:t>
      </w:r>
      <w:r w:rsidR="005D6C99">
        <w:rPr>
          <w:lang w:val="hr-HR"/>
        </w:rPr>
        <w:t>). Kako bi zaštitio jedinicu cijene nabavljenog megavatsata (</w:t>
      </w:r>
      <w:r w:rsidR="00FC25EC">
        <w:rPr>
          <w:lang w:val="hr-HR"/>
        </w:rPr>
        <w:t xml:space="preserve">skr. </w:t>
      </w:r>
      <w:r w:rsidR="005D6C99" w:rsidRPr="00FC25EC">
        <w:rPr>
          <w:lang w:val="hr-HR"/>
        </w:rPr>
        <w:t>MWh</w:t>
      </w:r>
      <w:r w:rsidR="005D6C99">
        <w:rPr>
          <w:lang w:val="hr-HR"/>
        </w:rPr>
        <w:t xml:space="preserve">), on sklapa sporazum o </w:t>
      </w:r>
      <w:r w:rsidR="00FC25EC">
        <w:rPr>
          <w:lang w:val="hr-HR"/>
        </w:rPr>
        <w:t xml:space="preserve">virtualnoj </w:t>
      </w:r>
      <w:r w:rsidR="005D6C99">
        <w:rPr>
          <w:lang w:val="hr-HR"/>
        </w:rPr>
        <w:t xml:space="preserve">nabavci električne energije na period od dvadeset i pet (25) godina sa </w:t>
      </w:r>
      <w:r w:rsidR="00FC25EC">
        <w:rPr>
          <w:lang w:val="hr-HR"/>
        </w:rPr>
        <w:t>V</w:t>
      </w:r>
      <w:r w:rsidR="005D6C99">
        <w:rPr>
          <w:lang w:val="hr-HR"/>
        </w:rPr>
        <w:t xml:space="preserve">jetroelektranom X, koja proizvodi i isporučuje električnu energiju iz obnovljivih izvora na tržište Druge regije. </w:t>
      </w:r>
    </w:p>
    <w:p w14:paraId="56448C5F" w14:textId="5C0911C9" w:rsidR="00014FB0" w:rsidRPr="00EF5D0A" w:rsidRDefault="006B510D" w:rsidP="002E15BE">
      <w:pPr>
        <w:pStyle w:val="IASBNormalnpara"/>
        <w:spacing w:before="80"/>
        <w:rPr>
          <w:lang w:val="hr-HR"/>
        </w:rPr>
      </w:pPr>
      <w:r>
        <w:rPr>
          <w:lang w:val="hr-HR"/>
        </w:rPr>
        <w:t>PP</w:t>
      </w:r>
      <w:r w:rsidR="00FC25EC">
        <w:rPr>
          <w:lang w:val="hr-HR"/>
        </w:rPr>
        <w:t>.</w:t>
      </w:r>
      <w:r w:rsidR="001C3CBD" w:rsidRPr="00EF5D0A">
        <w:rPr>
          <w:lang w:val="hr-HR"/>
        </w:rPr>
        <w:t>150</w:t>
      </w:r>
      <w:r>
        <w:rPr>
          <w:lang w:val="hr-HR"/>
        </w:rPr>
        <w:t>.</w:t>
      </w:r>
      <w:r w:rsidR="001C3CBD" w:rsidRPr="00EF5D0A">
        <w:rPr>
          <w:lang w:val="hr-HR"/>
        </w:rPr>
        <w:tab/>
        <w:t>T</w:t>
      </w:r>
      <w:r w:rsidR="000A737D">
        <w:rPr>
          <w:lang w:val="hr-HR"/>
        </w:rPr>
        <w:t xml:space="preserve">aj sporazum o </w:t>
      </w:r>
      <w:r w:rsidR="00FC25EC">
        <w:rPr>
          <w:lang w:val="hr-HR"/>
        </w:rPr>
        <w:t xml:space="preserve">virtualnoj </w:t>
      </w:r>
      <w:r w:rsidR="000A737D">
        <w:rPr>
          <w:lang w:val="hr-HR"/>
        </w:rPr>
        <w:t xml:space="preserve">nabavci električne energije nalaže </w:t>
      </w:r>
      <w:r w:rsidR="00FC25EC">
        <w:rPr>
          <w:lang w:val="hr-HR"/>
        </w:rPr>
        <w:t xml:space="preserve">neto </w:t>
      </w:r>
      <w:r w:rsidR="000A737D">
        <w:rPr>
          <w:lang w:val="hr-HR"/>
        </w:rPr>
        <w:t>izmirenje razlik</w:t>
      </w:r>
      <w:r w:rsidR="007B7AA7">
        <w:rPr>
          <w:lang w:val="hr-HR"/>
        </w:rPr>
        <w:t>e</w:t>
      </w:r>
      <w:r w:rsidR="000A737D">
        <w:rPr>
          <w:lang w:val="hr-HR"/>
        </w:rPr>
        <w:t xml:space="preserve"> između fiksne cijene jedinice koja je uređena ugovorom i tržišne cijene zasnovano na količini električne energije iz obnovljivih izvora koju </w:t>
      </w:r>
      <w:r w:rsidR="007B7AA7">
        <w:rPr>
          <w:lang w:val="hr-HR"/>
        </w:rPr>
        <w:t>V</w:t>
      </w:r>
      <w:r w:rsidR="000A737D">
        <w:rPr>
          <w:lang w:val="hr-HR"/>
        </w:rPr>
        <w:t xml:space="preserve">jetroelektrana X isporučuje na tržište Druge regije. Subjekt </w:t>
      </w:r>
      <w:r w:rsidR="001C3CBD" w:rsidRPr="00EF5D0A">
        <w:rPr>
          <w:lang w:val="hr-HR"/>
        </w:rPr>
        <w:t xml:space="preserve">A </w:t>
      </w:r>
      <w:r w:rsidR="000A737D">
        <w:rPr>
          <w:lang w:val="hr-HR"/>
        </w:rPr>
        <w:t>ugovore izmiruje u neto iznosu gotovin</w:t>
      </w:r>
      <w:r w:rsidR="007B7AA7">
        <w:rPr>
          <w:lang w:val="hr-HR"/>
        </w:rPr>
        <w:t>e</w:t>
      </w:r>
      <w:r w:rsidR="000A737D">
        <w:rPr>
          <w:lang w:val="hr-HR"/>
        </w:rPr>
        <w:t xml:space="preserve"> </w:t>
      </w:r>
      <w:r w:rsidR="007B7AA7">
        <w:rPr>
          <w:lang w:val="hr-HR"/>
        </w:rPr>
        <w:t>nakon dospijeća</w:t>
      </w:r>
      <w:r w:rsidR="000A737D">
        <w:rPr>
          <w:lang w:val="hr-HR"/>
        </w:rPr>
        <w:t xml:space="preserve"> prema količini električne energije koju </w:t>
      </w:r>
      <w:r w:rsidR="007B7AA7">
        <w:rPr>
          <w:lang w:val="hr-HR"/>
        </w:rPr>
        <w:t>je V</w:t>
      </w:r>
      <w:r w:rsidR="000A737D">
        <w:rPr>
          <w:lang w:val="hr-HR"/>
        </w:rPr>
        <w:t>jetroelektrana X stvarno isporuči</w:t>
      </w:r>
      <w:r w:rsidR="007B7AA7">
        <w:rPr>
          <w:lang w:val="hr-HR"/>
        </w:rPr>
        <w:t>la</w:t>
      </w:r>
      <w:r w:rsidR="000A737D">
        <w:rPr>
          <w:lang w:val="hr-HR"/>
        </w:rPr>
        <w:t xml:space="preserve"> na tržište Druge regije tokom jednog kalendarskog mjeseca. Ugovor zadovoljava uslove da se smatra ugovorom </w:t>
      </w:r>
      <w:r w:rsidR="007B7AA7">
        <w:rPr>
          <w:lang w:val="hr-HR"/>
        </w:rPr>
        <w:t xml:space="preserve">o </w:t>
      </w:r>
      <w:r w:rsidR="000A737D">
        <w:rPr>
          <w:lang w:val="hr-HR"/>
        </w:rPr>
        <w:t>električn</w:t>
      </w:r>
      <w:r w:rsidR="007B7AA7">
        <w:rPr>
          <w:lang w:val="hr-HR"/>
        </w:rPr>
        <w:t>oj</w:t>
      </w:r>
      <w:r w:rsidR="000A737D">
        <w:rPr>
          <w:lang w:val="hr-HR"/>
        </w:rPr>
        <w:t xml:space="preserve"> energij</w:t>
      </w:r>
      <w:r w:rsidR="007B7AA7">
        <w:rPr>
          <w:lang w:val="hr-HR"/>
        </w:rPr>
        <w:t>i</w:t>
      </w:r>
      <w:r w:rsidR="000A737D">
        <w:rPr>
          <w:lang w:val="hr-HR"/>
        </w:rPr>
        <w:t xml:space="preserve"> iz izvora </w:t>
      </w:r>
      <w:r w:rsidR="007B7AA7">
        <w:rPr>
          <w:lang w:val="hr-HR"/>
        </w:rPr>
        <w:t xml:space="preserve">zavisnih od prirodnih uslova </w:t>
      </w:r>
      <w:r w:rsidR="000A737D">
        <w:rPr>
          <w:lang w:val="hr-HR"/>
        </w:rPr>
        <w:t xml:space="preserve">(kako </w:t>
      </w:r>
      <w:r w:rsidR="007B7AA7">
        <w:rPr>
          <w:lang w:val="hr-HR"/>
        </w:rPr>
        <w:t>su opisani</w:t>
      </w:r>
      <w:r w:rsidR="000A737D">
        <w:rPr>
          <w:lang w:val="hr-HR"/>
        </w:rPr>
        <w:t xml:space="preserve"> u tački </w:t>
      </w:r>
      <w:r w:rsidR="001C3CBD" w:rsidRPr="00EF5D0A">
        <w:rPr>
          <w:lang w:val="hr-HR"/>
        </w:rPr>
        <w:t>2.3</w:t>
      </w:r>
      <w:r w:rsidR="007B7AA7">
        <w:rPr>
          <w:lang w:val="hr-HR"/>
        </w:rPr>
        <w:t>.</w:t>
      </w:r>
      <w:r w:rsidR="001C3CBD" w:rsidRPr="00EF5D0A">
        <w:rPr>
          <w:lang w:val="hr-HR"/>
        </w:rPr>
        <w:t xml:space="preserve">A </w:t>
      </w:r>
      <w:r w:rsidR="000A737D">
        <w:rPr>
          <w:lang w:val="hr-HR"/>
        </w:rPr>
        <w:t>MSFI-ja</w:t>
      </w:r>
      <w:r w:rsidR="001C3CBD" w:rsidRPr="00EF5D0A">
        <w:rPr>
          <w:lang w:val="hr-HR"/>
        </w:rPr>
        <w:t xml:space="preserve"> 9). </w:t>
      </w:r>
      <w:r w:rsidR="000A737D">
        <w:rPr>
          <w:lang w:val="hr-HR"/>
        </w:rPr>
        <w:t xml:space="preserve">Subjekt A želi odrediti taj ugovor kao instrument zaštite u zaštiti </w:t>
      </w:r>
      <w:r w:rsidR="007B7AA7">
        <w:rPr>
          <w:lang w:val="hr-HR"/>
        </w:rPr>
        <w:t xml:space="preserve">novčanog toka kako bi </w:t>
      </w:r>
      <w:r w:rsidR="000A737D">
        <w:rPr>
          <w:lang w:val="hr-HR"/>
        </w:rPr>
        <w:t>buduć</w:t>
      </w:r>
      <w:r w:rsidR="007B7AA7">
        <w:rPr>
          <w:lang w:val="hr-HR"/>
        </w:rPr>
        <w:t>e</w:t>
      </w:r>
      <w:r w:rsidR="000A737D">
        <w:rPr>
          <w:lang w:val="hr-HR"/>
        </w:rPr>
        <w:t xml:space="preserve"> nabavk</w:t>
      </w:r>
      <w:r w:rsidR="007B7AA7">
        <w:rPr>
          <w:lang w:val="hr-HR"/>
        </w:rPr>
        <w:t>e</w:t>
      </w:r>
      <w:r w:rsidR="000A737D">
        <w:rPr>
          <w:lang w:val="hr-HR"/>
        </w:rPr>
        <w:t xml:space="preserve"> električne energije </w:t>
      </w:r>
      <w:r w:rsidR="007B7AA7">
        <w:rPr>
          <w:lang w:val="hr-HR"/>
        </w:rPr>
        <w:t xml:space="preserve">zaštitio </w:t>
      </w:r>
      <w:r w:rsidR="000A737D">
        <w:rPr>
          <w:lang w:val="hr-HR"/>
        </w:rPr>
        <w:t>od promjenjivosti novčan</w:t>
      </w:r>
      <w:r w:rsidR="007B7AA7">
        <w:rPr>
          <w:lang w:val="hr-HR"/>
        </w:rPr>
        <w:t>ih</w:t>
      </w:r>
      <w:r w:rsidR="000A737D">
        <w:rPr>
          <w:lang w:val="hr-HR"/>
        </w:rPr>
        <w:t xml:space="preserve"> tok</w:t>
      </w:r>
      <w:r w:rsidR="007B7AA7">
        <w:rPr>
          <w:lang w:val="hr-HR"/>
        </w:rPr>
        <w:t>ova</w:t>
      </w:r>
      <w:r w:rsidR="001C3CBD" w:rsidRPr="00EF5D0A">
        <w:rPr>
          <w:lang w:val="hr-HR"/>
        </w:rPr>
        <w:t>.</w:t>
      </w:r>
    </w:p>
    <w:p w14:paraId="1ECA0CCE" w14:textId="41638676" w:rsidR="00014FB0" w:rsidRPr="00EF5D0A" w:rsidRDefault="006B510D">
      <w:pPr>
        <w:pStyle w:val="IASBSectionTitle2Ind"/>
        <w:rPr>
          <w:lang w:val="hr-HR"/>
        </w:rPr>
      </w:pPr>
      <w:bookmarkStart w:id="28" w:name="unique_80"/>
      <w:r>
        <w:rPr>
          <w:lang w:val="hr-HR"/>
        </w:rPr>
        <w:t xml:space="preserve">Određivanje promjenjive nominalne vrijednosti kao </w:t>
      </w:r>
      <w:r w:rsidR="007B7AA7">
        <w:rPr>
          <w:lang w:val="hr-HR"/>
        </w:rPr>
        <w:t>zaštićene stavke</w:t>
      </w:r>
      <w:r w:rsidR="001C3CBD" w:rsidRPr="00EF5D0A">
        <w:rPr>
          <w:lang w:val="hr-HR"/>
        </w:rPr>
        <w:t xml:space="preserve"> (</w:t>
      </w:r>
      <w:r>
        <w:rPr>
          <w:lang w:val="hr-HR"/>
        </w:rPr>
        <w:t>tačka</w:t>
      </w:r>
      <w:r w:rsidR="001C3CBD" w:rsidRPr="00EF5D0A">
        <w:rPr>
          <w:lang w:val="hr-HR"/>
        </w:rPr>
        <w:t xml:space="preserve"> 6.10.1 </w:t>
      </w:r>
      <w:r>
        <w:rPr>
          <w:lang w:val="hr-HR"/>
        </w:rPr>
        <w:t>MSFI-ja</w:t>
      </w:r>
      <w:r w:rsidR="001C3CBD" w:rsidRPr="00EF5D0A">
        <w:rPr>
          <w:lang w:val="hr-HR"/>
        </w:rPr>
        <w:t xml:space="preserve"> 9)</w:t>
      </w:r>
      <w:bookmarkEnd w:id="28"/>
    </w:p>
    <w:p w14:paraId="4859EAB7" w14:textId="75E1FDB6" w:rsidR="00014FB0" w:rsidRPr="00EF5D0A" w:rsidRDefault="006B510D" w:rsidP="005D3696">
      <w:pPr>
        <w:pStyle w:val="IASBNormalnpara"/>
        <w:spacing w:before="70"/>
        <w:rPr>
          <w:lang w:val="hr-HR"/>
        </w:rPr>
      </w:pPr>
      <w:r>
        <w:rPr>
          <w:lang w:val="hr-HR"/>
        </w:rPr>
        <w:t>PP</w:t>
      </w:r>
      <w:r w:rsidR="007B7AA7">
        <w:rPr>
          <w:lang w:val="hr-HR"/>
        </w:rPr>
        <w:t>.</w:t>
      </w:r>
      <w:r w:rsidR="001C3CBD" w:rsidRPr="00EF5D0A">
        <w:rPr>
          <w:lang w:val="hr-HR"/>
        </w:rPr>
        <w:t>151</w:t>
      </w:r>
      <w:r>
        <w:rPr>
          <w:lang w:val="hr-HR"/>
        </w:rPr>
        <w:t>.</w:t>
      </w:r>
      <w:r w:rsidR="001C3CBD" w:rsidRPr="00EF5D0A">
        <w:rPr>
          <w:lang w:val="hr-HR"/>
        </w:rPr>
        <w:tab/>
      </w:r>
      <w:r w:rsidR="000A737D">
        <w:rPr>
          <w:lang w:val="hr-HR"/>
        </w:rPr>
        <w:t>Subjekt A</w:t>
      </w:r>
      <w:r w:rsidR="008C7E86">
        <w:rPr>
          <w:lang w:val="hr-HR"/>
        </w:rPr>
        <w:t xml:space="preserve"> kao zaštitu novčanog toka o</w:t>
      </w:r>
      <w:r w:rsidR="004A779A">
        <w:rPr>
          <w:lang w:val="hr-HR"/>
        </w:rPr>
        <w:t>dređuje</w:t>
      </w:r>
      <w:r w:rsidR="008C7E86">
        <w:rPr>
          <w:lang w:val="hr-HR"/>
        </w:rPr>
        <w:t xml:space="preserve"> odnos zaštite od rizika između</w:t>
      </w:r>
      <w:r w:rsidR="001C3CBD" w:rsidRPr="00EF5D0A">
        <w:rPr>
          <w:lang w:val="hr-HR"/>
        </w:rPr>
        <w:t>:</w:t>
      </w:r>
    </w:p>
    <w:p w14:paraId="3C8E4AF1" w14:textId="408F249E" w:rsidR="00014FB0" w:rsidRPr="00EF5D0A" w:rsidRDefault="001C3CBD" w:rsidP="005D3696">
      <w:pPr>
        <w:pStyle w:val="IASBNormalnparaL1"/>
        <w:spacing w:before="70"/>
        <w:rPr>
          <w:lang w:val="hr-HR"/>
        </w:rPr>
      </w:pPr>
      <w:r w:rsidRPr="00EF5D0A">
        <w:rPr>
          <w:lang w:val="hr-HR"/>
        </w:rPr>
        <w:t>(a)</w:t>
      </w:r>
      <w:r w:rsidRPr="00EF5D0A">
        <w:rPr>
          <w:lang w:val="hr-HR"/>
        </w:rPr>
        <w:tab/>
      </w:r>
      <w:r w:rsidR="008C7E86">
        <w:rPr>
          <w:lang w:val="hr-HR"/>
        </w:rPr>
        <w:t xml:space="preserve">svojih predviđenih nabavki električne energije u Prvoj regiji tokom perioda od dvadeset i pet (25) godina (kao zaštićene stavke); i </w:t>
      </w:r>
    </w:p>
    <w:p w14:paraId="39DDDEEF" w14:textId="2D0F4EC4" w:rsidR="00014FB0" w:rsidRPr="00EF5D0A" w:rsidRDefault="001C3CBD" w:rsidP="005D3696">
      <w:pPr>
        <w:pStyle w:val="IASBNormalnparaL1"/>
        <w:spacing w:before="70"/>
        <w:rPr>
          <w:lang w:val="hr-HR"/>
        </w:rPr>
      </w:pPr>
      <w:r w:rsidRPr="00EF5D0A">
        <w:rPr>
          <w:lang w:val="hr-HR"/>
        </w:rPr>
        <w:t>(b)</w:t>
      </w:r>
      <w:r w:rsidRPr="00EF5D0A">
        <w:rPr>
          <w:lang w:val="hr-HR"/>
        </w:rPr>
        <w:tab/>
      </w:r>
      <w:r w:rsidR="008C7E86">
        <w:rPr>
          <w:lang w:val="hr-HR"/>
        </w:rPr>
        <w:t xml:space="preserve">ugovora </w:t>
      </w:r>
      <w:r w:rsidR="004A779A">
        <w:rPr>
          <w:lang w:val="hr-HR"/>
        </w:rPr>
        <w:t xml:space="preserve">o </w:t>
      </w:r>
      <w:r w:rsidR="008C7E86">
        <w:rPr>
          <w:lang w:val="hr-HR"/>
        </w:rPr>
        <w:t>električn</w:t>
      </w:r>
      <w:r w:rsidR="004A779A">
        <w:rPr>
          <w:lang w:val="hr-HR"/>
        </w:rPr>
        <w:t>oj</w:t>
      </w:r>
      <w:r w:rsidR="008C7E86">
        <w:rPr>
          <w:lang w:val="hr-HR"/>
        </w:rPr>
        <w:t xml:space="preserve"> energij</w:t>
      </w:r>
      <w:r w:rsidR="004A779A">
        <w:rPr>
          <w:lang w:val="hr-HR"/>
        </w:rPr>
        <w:t>i</w:t>
      </w:r>
      <w:r w:rsidR="008C7E86">
        <w:rPr>
          <w:lang w:val="hr-HR"/>
        </w:rPr>
        <w:t xml:space="preserve"> iz </w:t>
      </w:r>
      <w:r w:rsidR="004A779A">
        <w:rPr>
          <w:lang w:val="hr-HR"/>
        </w:rPr>
        <w:t xml:space="preserve">izvora zavisnih od </w:t>
      </w:r>
      <w:r w:rsidR="008C7E86">
        <w:rPr>
          <w:lang w:val="hr-HR"/>
        </w:rPr>
        <w:t xml:space="preserve">prirodnih </w:t>
      </w:r>
      <w:r w:rsidR="004A779A">
        <w:rPr>
          <w:lang w:val="hr-HR"/>
        </w:rPr>
        <w:t>uslova</w:t>
      </w:r>
      <w:r w:rsidR="008C7E86">
        <w:rPr>
          <w:lang w:val="hr-HR"/>
        </w:rPr>
        <w:t xml:space="preserve"> opisanog u PP</w:t>
      </w:r>
      <w:r w:rsidR="004A779A">
        <w:rPr>
          <w:lang w:val="hr-HR"/>
        </w:rPr>
        <w:t>.</w:t>
      </w:r>
      <w:r w:rsidRPr="00EF5D0A">
        <w:rPr>
          <w:lang w:val="hr-HR"/>
        </w:rPr>
        <w:t>150</w:t>
      </w:r>
      <w:r w:rsidR="004A779A">
        <w:rPr>
          <w:lang w:val="hr-HR"/>
        </w:rPr>
        <w:t>.</w:t>
      </w:r>
      <w:r w:rsidRPr="00EF5D0A">
        <w:rPr>
          <w:lang w:val="hr-HR"/>
        </w:rPr>
        <w:t xml:space="preserve"> (</w:t>
      </w:r>
      <w:r w:rsidR="008C7E86">
        <w:rPr>
          <w:lang w:val="hr-HR"/>
        </w:rPr>
        <w:t>kao instrumenta zaštite</w:t>
      </w:r>
      <w:r w:rsidRPr="00EF5D0A">
        <w:rPr>
          <w:lang w:val="hr-HR"/>
        </w:rPr>
        <w:t>).</w:t>
      </w:r>
    </w:p>
    <w:p w14:paraId="0FBE596F" w14:textId="4A060950" w:rsidR="00014FB0" w:rsidRPr="00EF5D0A" w:rsidRDefault="008C7E86" w:rsidP="002E15BE">
      <w:pPr>
        <w:pStyle w:val="IASBNormalnpara"/>
        <w:spacing w:before="80"/>
        <w:rPr>
          <w:lang w:val="hr-HR"/>
        </w:rPr>
      </w:pPr>
      <w:r>
        <w:rPr>
          <w:lang w:val="hr-HR"/>
        </w:rPr>
        <w:t>PP</w:t>
      </w:r>
      <w:r w:rsidR="007B7AA7">
        <w:rPr>
          <w:lang w:val="hr-HR"/>
        </w:rPr>
        <w:t>.</w:t>
      </w:r>
      <w:r w:rsidR="001C3CBD" w:rsidRPr="00EF5D0A">
        <w:rPr>
          <w:lang w:val="hr-HR"/>
        </w:rPr>
        <w:t>152</w:t>
      </w:r>
      <w:r>
        <w:rPr>
          <w:lang w:val="hr-HR"/>
        </w:rPr>
        <w:t>.</w:t>
      </w:r>
      <w:r w:rsidR="001C3CBD" w:rsidRPr="00EF5D0A">
        <w:rPr>
          <w:lang w:val="hr-HR"/>
        </w:rPr>
        <w:tab/>
      </w:r>
      <w:r w:rsidR="00572C07">
        <w:rPr>
          <w:lang w:val="hr-HR"/>
        </w:rPr>
        <w:t>U skladu sa svojom strategijom upravljanj</w:t>
      </w:r>
      <w:r w:rsidR="0074078A">
        <w:rPr>
          <w:lang w:val="hr-HR"/>
        </w:rPr>
        <w:t>a</w:t>
      </w:r>
      <w:r w:rsidR="00572C07">
        <w:rPr>
          <w:lang w:val="hr-HR"/>
        </w:rPr>
        <w:t xml:space="preserve"> rizicima, </w:t>
      </w:r>
      <w:r w:rsidR="0074078A">
        <w:rPr>
          <w:lang w:val="hr-HR"/>
        </w:rPr>
        <w:t>S</w:t>
      </w:r>
      <w:r w:rsidR="00572C07">
        <w:rPr>
          <w:lang w:val="hr-HR"/>
        </w:rPr>
        <w:t xml:space="preserve">ubjekt A kao zaštićenu stavku </w:t>
      </w:r>
      <w:r w:rsidR="0074078A">
        <w:rPr>
          <w:lang w:val="hr-HR"/>
        </w:rPr>
        <w:t xml:space="preserve">želi </w:t>
      </w:r>
      <w:r w:rsidR="00572C07">
        <w:rPr>
          <w:lang w:val="hr-HR"/>
        </w:rPr>
        <w:t>o</w:t>
      </w:r>
      <w:r w:rsidR="0074078A">
        <w:rPr>
          <w:lang w:val="hr-HR"/>
        </w:rPr>
        <w:t>drediti</w:t>
      </w:r>
      <w:r w:rsidR="00572C07">
        <w:rPr>
          <w:lang w:val="hr-HR"/>
        </w:rPr>
        <w:t xml:space="preserve"> promjenjivu nominalnu vrijednost nabavki električne energije tokom mjesec dana koja je usklađena s promjenjivom nominalnom vrijednošću električne energije koju se očekuje da </w:t>
      </w:r>
      <w:r w:rsidR="0074078A">
        <w:rPr>
          <w:lang w:val="hr-HR"/>
        </w:rPr>
        <w:t>V</w:t>
      </w:r>
      <w:r w:rsidR="00572C07">
        <w:rPr>
          <w:lang w:val="hr-HR"/>
        </w:rPr>
        <w:t xml:space="preserve">jetroelektrana X isporuči na </w:t>
      </w:r>
      <w:r w:rsidR="0074078A">
        <w:rPr>
          <w:lang w:val="hr-HR"/>
        </w:rPr>
        <w:t xml:space="preserve">dato </w:t>
      </w:r>
      <w:r w:rsidR="00572C07">
        <w:rPr>
          <w:lang w:val="hr-HR"/>
        </w:rPr>
        <w:t xml:space="preserve">tržište kako je uređeno instrumentom zaštite. Subjekt </w:t>
      </w:r>
      <w:r w:rsidR="001C3CBD" w:rsidRPr="00EF5D0A">
        <w:rPr>
          <w:lang w:val="hr-HR"/>
        </w:rPr>
        <w:t xml:space="preserve">A </w:t>
      </w:r>
      <w:r w:rsidR="00572C07">
        <w:rPr>
          <w:lang w:val="hr-HR"/>
        </w:rPr>
        <w:t>raspoređuje prve nabavke izvršene svakog mjeseca u o</w:t>
      </w:r>
      <w:r w:rsidR="0074078A">
        <w:rPr>
          <w:lang w:val="hr-HR"/>
        </w:rPr>
        <w:t>dređenu</w:t>
      </w:r>
      <w:r w:rsidR="00572C07">
        <w:rPr>
          <w:lang w:val="hr-HR"/>
        </w:rPr>
        <w:t xml:space="preserve"> promjenjivu nominalnu vrijednost. </w:t>
      </w:r>
    </w:p>
    <w:p w14:paraId="1479AC4D" w14:textId="27956F40" w:rsidR="00014FB0" w:rsidRDefault="008C7E86" w:rsidP="002E15BE">
      <w:pPr>
        <w:pStyle w:val="IASBNormalnpara"/>
        <w:spacing w:before="80"/>
        <w:rPr>
          <w:lang w:val="hr-HR"/>
        </w:rPr>
      </w:pPr>
      <w:r>
        <w:rPr>
          <w:lang w:val="hr-HR"/>
        </w:rPr>
        <w:t>PP</w:t>
      </w:r>
      <w:r w:rsidR="0074078A">
        <w:rPr>
          <w:lang w:val="hr-HR"/>
        </w:rPr>
        <w:t>.</w:t>
      </w:r>
      <w:r w:rsidR="001C3CBD" w:rsidRPr="00EF5D0A">
        <w:rPr>
          <w:lang w:val="hr-HR"/>
        </w:rPr>
        <w:t>153</w:t>
      </w:r>
      <w:r>
        <w:rPr>
          <w:lang w:val="hr-HR"/>
        </w:rPr>
        <w:t>.</w:t>
      </w:r>
      <w:r w:rsidR="001C3CBD" w:rsidRPr="00EF5D0A">
        <w:rPr>
          <w:lang w:val="hr-HR"/>
        </w:rPr>
        <w:tab/>
      </w:r>
      <w:r w:rsidR="00572C07">
        <w:rPr>
          <w:lang w:val="hr-HR"/>
        </w:rPr>
        <w:t>Subjekt A koristi procjenu zasnovan</w:t>
      </w:r>
      <w:r w:rsidR="004939E1">
        <w:rPr>
          <w:lang w:val="hr-HR"/>
        </w:rPr>
        <w:t>u</w:t>
      </w:r>
      <w:r w:rsidR="00572C07">
        <w:rPr>
          <w:lang w:val="hr-HR"/>
        </w:rPr>
        <w:t xml:space="preserve"> na stepenu vjerovatnoće kako bi utvrdio da li </w:t>
      </w:r>
      <w:r w:rsidR="004939E1">
        <w:rPr>
          <w:lang w:val="hr-HR"/>
        </w:rPr>
        <w:t xml:space="preserve">je određena vrijednost </w:t>
      </w:r>
      <w:r w:rsidR="00572C07">
        <w:rPr>
          <w:lang w:val="hr-HR"/>
        </w:rPr>
        <w:t xml:space="preserve">nabavki električne energije za svaki mjesec vrlo </w:t>
      </w:r>
      <w:r w:rsidR="004E2759">
        <w:rPr>
          <w:lang w:val="hr-HR"/>
        </w:rPr>
        <w:t>vjerovatn</w:t>
      </w:r>
      <w:r w:rsidR="00572C07">
        <w:rPr>
          <w:lang w:val="hr-HR"/>
        </w:rPr>
        <w:t xml:space="preserve">a. On očekuje da se njegove mjesečne nabavke nastave tokom perioda važenja zaštite, zasnovano na </w:t>
      </w:r>
      <w:r w:rsidR="004939E1">
        <w:rPr>
          <w:lang w:val="hr-HR"/>
        </w:rPr>
        <w:t>svojoj</w:t>
      </w:r>
      <w:r w:rsidR="00572C07">
        <w:rPr>
          <w:lang w:val="hr-HR"/>
        </w:rPr>
        <w:t xml:space="preserve"> trenutnoj i prošloj praksi </w:t>
      </w:r>
      <w:r w:rsidR="001C3CBD" w:rsidRPr="00EF5D0A">
        <w:rPr>
          <w:lang w:val="hr-HR"/>
        </w:rPr>
        <w:t>(</w:t>
      </w:r>
      <w:r w:rsidR="004939E1">
        <w:rPr>
          <w:lang w:val="hr-HR"/>
        </w:rPr>
        <w:t>ili bar u trenutku određivanja ne raspolaže informacijama koje bi ukazivale na suprotno)</w:t>
      </w:r>
      <w:r w:rsidR="00572C07">
        <w:rPr>
          <w:lang w:val="hr-HR"/>
        </w:rPr>
        <w:t xml:space="preserve">. Zasnovano na procjeni stepena vjerovatnoće, </w:t>
      </w:r>
      <w:r w:rsidR="004939E1">
        <w:rPr>
          <w:lang w:val="hr-HR"/>
        </w:rPr>
        <w:t>S</w:t>
      </w:r>
      <w:r w:rsidR="00572C07">
        <w:rPr>
          <w:lang w:val="hr-HR"/>
        </w:rPr>
        <w:t xml:space="preserve">ubjekt A utvrđuje da je vrlo </w:t>
      </w:r>
      <w:r w:rsidR="004E2759">
        <w:rPr>
          <w:lang w:val="hr-HR"/>
        </w:rPr>
        <w:t>vjerovatn</w:t>
      </w:r>
      <w:r w:rsidR="00572C07">
        <w:rPr>
          <w:lang w:val="hr-HR"/>
        </w:rPr>
        <w:t xml:space="preserve">o da će </w:t>
      </w:r>
      <w:r w:rsidR="004939E1">
        <w:rPr>
          <w:lang w:val="hr-HR"/>
        </w:rPr>
        <w:t>vrijednost</w:t>
      </w:r>
      <w:r w:rsidR="006E3624">
        <w:rPr>
          <w:lang w:val="hr-HR"/>
        </w:rPr>
        <w:t xml:space="preserve"> električne energije koju se predviđa da će nabaviti biti veća ili jednaka promjenjivoj nominalnoj </w:t>
      </w:r>
      <w:r w:rsidR="004939E1">
        <w:rPr>
          <w:lang w:val="hr-HR"/>
        </w:rPr>
        <w:t>vrijednosti određenoj</w:t>
      </w:r>
      <w:r w:rsidR="006E3624">
        <w:rPr>
          <w:lang w:val="hr-HR"/>
        </w:rPr>
        <w:t xml:space="preserve"> kao </w:t>
      </w:r>
      <w:r w:rsidR="002E15BE">
        <w:rPr>
          <w:lang w:val="hr-HR"/>
        </w:rPr>
        <w:t xml:space="preserve">zaštićena </w:t>
      </w:r>
      <w:r w:rsidR="006E3624">
        <w:rPr>
          <w:lang w:val="hr-HR"/>
        </w:rPr>
        <w:t xml:space="preserve">stavka. </w:t>
      </w:r>
    </w:p>
    <w:p w14:paraId="7D41EF2C" w14:textId="77777777" w:rsidR="00452683" w:rsidRPr="00452683" w:rsidRDefault="00452683" w:rsidP="002E15BE">
      <w:pPr>
        <w:pStyle w:val="IASBNormalnpara"/>
        <w:spacing w:before="80"/>
        <w:rPr>
          <w:sz w:val="10"/>
          <w:szCs w:val="10"/>
          <w:lang w:val="hr-HR"/>
        </w:rPr>
      </w:pPr>
    </w:p>
    <w:p w14:paraId="1AD3C990" w14:textId="5323FB9A" w:rsidR="00014FB0" w:rsidRPr="00EF5D0A" w:rsidRDefault="006E3624" w:rsidP="002E15BE">
      <w:pPr>
        <w:pStyle w:val="IASBSectionTitle2Ind"/>
        <w:spacing w:before="20"/>
        <w:rPr>
          <w:lang w:val="hr-HR"/>
        </w:rPr>
      </w:pPr>
      <w:bookmarkStart w:id="29" w:name="unique_81"/>
      <w:r>
        <w:rPr>
          <w:lang w:val="hr-HR"/>
        </w:rPr>
        <w:t xml:space="preserve">Učinkovitost odnosa zaštite </w:t>
      </w:r>
      <w:bookmarkEnd w:id="29"/>
    </w:p>
    <w:p w14:paraId="49E846A5" w14:textId="15824AFB" w:rsidR="00014FB0" w:rsidRPr="00EF5D0A" w:rsidRDefault="006E3624" w:rsidP="00452683">
      <w:pPr>
        <w:pStyle w:val="IASBNormalnpara"/>
        <w:spacing w:before="20"/>
        <w:rPr>
          <w:lang w:val="hr-HR"/>
        </w:rPr>
      </w:pPr>
      <w:r>
        <w:rPr>
          <w:lang w:val="hr-HR"/>
        </w:rPr>
        <w:t>PP</w:t>
      </w:r>
      <w:r w:rsidR="002E15BE">
        <w:rPr>
          <w:lang w:val="hr-HR"/>
        </w:rPr>
        <w:t>.</w:t>
      </w:r>
      <w:r w:rsidR="001C3CBD" w:rsidRPr="00EF5D0A">
        <w:rPr>
          <w:lang w:val="hr-HR"/>
        </w:rPr>
        <w:t>154</w:t>
      </w:r>
      <w:r>
        <w:rPr>
          <w:lang w:val="hr-HR"/>
        </w:rPr>
        <w:t>.</w:t>
      </w:r>
      <w:r w:rsidR="001C3CBD" w:rsidRPr="00EF5D0A">
        <w:rPr>
          <w:lang w:val="hr-HR"/>
        </w:rPr>
        <w:tab/>
      </w:r>
      <w:r>
        <w:rPr>
          <w:lang w:val="hr-HR"/>
        </w:rPr>
        <w:t xml:space="preserve">Kako bi procijenio učinkovitost odnosa zaštite, </w:t>
      </w:r>
      <w:r w:rsidR="00A00B8D">
        <w:rPr>
          <w:lang w:val="hr-HR"/>
        </w:rPr>
        <w:t>S</w:t>
      </w:r>
      <w:r>
        <w:rPr>
          <w:lang w:val="hr-HR"/>
        </w:rPr>
        <w:t>ubjekt A procjenjuje da li postoji ekonomski odnos između zaštićene stavke (budućih nabavki električne energije) i instrumenta zaštite</w:t>
      </w:r>
      <w:r w:rsidR="001C3CBD" w:rsidRPr="00EF5D0A">
        <w:rPr>
          <w:lang w:val="hr-HR"/>
        </w:rPr>
        <w:t xml:space="preserve"> (</w:t>
      </w:r>
      <w:r>
        <w:rPr>
          <w:lang w:val="hr-HR"/>
        </w:rPr>
        <w:t xml:space="preserve">ugovora </w:t>
      </w:r>
      <w:r w:rsidR="00A00B8D">
        <w:rPr>
          <w:lang w:val="hr-HR"/>
        </w:rPr>
        <w:t>o</w:t>
      </w:r>
      <w:r>
        <w:rPr>
          <w:lang w:val="hr-HR"/>
        </w:rPr>
        <w:t xml:space="preserve"> električn</w:t>
      </w:r>
      <w:r w:rsidR="00A00B8D">
        <w:rPr>
          <w:lang w:val="hr-HR"/>
        </w:rPr>
        <w:t>oj</w:t>
      </w:r>
      <w:r>
        <w:rPr>
          <w:lang w:val="hr-HR"/>
        </w:rPr>
        <w:t xml:space="preserve"> energij</w:t>
      </w:r>
      <w:r w:rsidR="00A00B8D">
        <w:rPr>
          <w:lang w:val="hr-HR"/>
        </w:rPr>
        <w:t>i</w:t>
      </w:r>
      <w:r>
        <w:rPr>
          <w:lang w:val="hr-HR"/>
        </w:rPr>
        <w:t xml:space="preserve"> iz </w:t>
      </w:r>
      <w:r>
        <w:rPr>
          <w:lang w:val="hr-HR"/>
        </w:rPr>
        <w:lastRenderedPageBreak/>
        <w:t>izvora</w:t>
      </w:r>
      <w:r w:rsidR="00A00B8D">
        <w:rPr>
          <w:lang w:val="hr-HR"/>
        </w:rPr>
        <w:t xml:space="preserve"> zavisnih od prirodnih uslova</w:t>
      </w:r>
      <w:r>
        <w:rPr>
          <w:lang w:val="hr-HR"/>
        </w:rPr>
        <w:t xml:space="preserve">). Bez obzira što će </w:t>
      </w:r>
      <w:r w:rsidR="00D24BE5">
        <w:rPr>
          <w:lang w:val="hr-HR"/>
        </w:rPr>
        <w:t>S</w:t>
      </w:r>
      <w:r>
        <w:rPr>
          <w:lang w:val="hr-HR"/>
        </w:rPr>
        <w:t xml:space="preserve">ubjekt A električnu energiju u budućnosti nabavljati u Prvoj regiji a </w:t>
      </w:r>
      <w:r w:rsidR="00D24BE5">
        <w:rPr>
          <w:lang w:val="hr-HR"/>
        </w:rPr>
        <w:t>V</w:t>
      </w:r>
      <w:r>
        <w:rPr>
          <w:lang w:val="hr-HR"/>
        </w:rPr>
        <w:t xml:space="preserve">jetroelektrana X električnu energiju iz </w:t>
      </w:r>
      <w:r w:rsidR="00D24BE5">
        <w:rPr>
          <w:lang w:val="hr-HR"/>
        </w:rPr>
        <w:t xml:space="preserve">izvora zavisnih od </w:t>
      </w:r>
      <w:r>
        <w:rPr>
          <w:lang w:val="hr-HR"/>
        </w:rPr>
        <w:t xml:space="preserve">prirodnih </w:t>
      </w:r>
      <w:r w:rsidR="00D24BE5">
        <w:rPr>
          <w:lang w:val="hr-HR"/>
        </w:rPr>
        <w:t xml:space="preserve">uslova </w:t>
      </w:r>
      <w:r>
        <w:rPr>
          <w:lang w:val="hr-HR"/>
        </w:rPr>
        <w:t>isporučivati u Drugoj regiji, te razlike u referentnim tržištima ne sprječavaju postojanje ekonomskog odnosa. Ako postoji ekonomski odnos između zaštićene stavke i instrumenta zaštite, njihove vrijednosti bi se, u pravilu, kretale u suprotnim pravcima kao posljedica istog rizika, to jeste, rizika od kojeg se štiti (kako je definiran u tački</w:t>
      </w:r>
      <w:r w:rsidR="001C3CBD" w:rsidRPr="00EF5D0A">
        <w:rPr>
          <w:lang w:val="hr-HR"/>
        </w:rPr>
        <w:t xml:space="preserve"> B6.4.4 </w:t>
      </w:r>
      <w:r>
        <w:rPr>
          <w:lang w:val="hr-HR"/>
        </w:rPr>
        <w:t>MSFI-ja</w:t>
      </w:r>
      <w:r w:rsidR="001C3CBD" w:rsidRPr="00EF5D0A">
        <w:rPr>
          <w:lang w:val="hr-HR"/>
        </w:rPr>
        <w:t xml:space="preserve"> 9).</w:t>
      </w:r>
    </w:p>
    <w:p w14:paraId="6EEAFDA8" w14:textId="2A4851AA" w:rsidR="00014FB0" w:rsidRPr="00EF5D0A" w:rsidRDefault="00A95AF3">
      <w:pPr>
        <w:pStyle w:val="IASBNormalnpara"/>
        <w:rPr>
          <w:lang w:val="hr-HR"/>
        </w:rPr>
      </w:pPr>
      <w:r>
        <w:rPr>
          <w:lang w:val="hr-HR"/>
        </w:rPr>
        <w:t>PP</w:t>
      </w:r>
      <w:r w:rsidR="002E15BE">
        <w:rPr>
          <w:lang w:val="hr-HR"/>
        </w:rPr>
        <w:t>.</w:t>
      </w:r>
      <w:r w:rsidR="001C3CBD" w:rsidRPr="00EF5D0A">
        <w:rPr>
          <w:lang w:val="hr-HR"/>
        </w:rPr>
        <w:t>155</w:t>
      </w:r>
      <w:r>
        <w:rPr>
          <w:lang w:val="hr-HR"/>
        </w:rPr>
        <w:t>.</w:t>
      </w:r>
      <w:r w:rsidR="001C3CBD" w:rsidRPr="00EF5D0A">
        <w:rPr>
          <w:lang w:val="hr-HR"/>
        </w:rPr>
        <w:tab/>
      </w:r>
      <w:r w:rsidR="007720A9">
        <w:rPr>
          <w:lang w:val="hr-HR"/>
        </w:rPr>
        <w:t>S</w:t>
      </w:r>
      <w:r>
        <w:rPr>
          <w:lang w:val="hr-HR"/>
        </w:rPr>
        <w:t>ubjekt A</w:t>
      </w:r>
      <w:r w:rsidR="007720A9">
        <w:rPr>
          <w:lang w:val="hr-HR"/>
        </w:rPr>
        <w:t>, međutim,</w:t>
      </w:r>
      <w:r>
        <w:rPr>
          <w:lang w:val="hr-HR"/>
        </w:rPr>
        <w:t xml:space="preserve"> prepoznaje dva izvora neučinkovitosti. Prvi </w:t>
      </w:r>
      <w:r w:rsidR="007720A9">
        <w:rPr>
          <w:lang w:val="hr-HR"/>
        </w:rPr>
        <w:t>je</w:t>
      </w:r>
      <w:r>
        <w:rPr>
          <w:lang w:val="hr-HR"/>
        </w:rPr>
        <w:t xml:space="preserve"> rizik osnovice </w:t>
      </w:r>
      <w:r w:rsidR="007720A9">
        <w:rPr>
          <w:lang w:val="hr-HR"/>
        </w:rPr>
        <w:t>p</w:t>
      </w:r>
      <w:r>
        <w:rPr>
          <w:lang w:val="hr-HR"/>
        </w:rPr>
        <w:t xml:space="preserve">ovezan s </w:t>
      </w:r>
      <w:r w:rsidR="007720A9">
        <w:rPr>
          <w:lang w:val="hr-HR"/>
        </w:rPr>
        <w:t xml:space="preserve">razlikama </w:t>
      </w:r>
      <w:r>
        <w:rPr>
          <w:lang w:val="hr-HR"/>
        </w:rPr>
        <w:t>tržišn</w:t>
      </w:r>
      <w:r w:rsidR="007720A9">
        <w:rPr>
          <w:lang w:val="hr-HR"/>
        </w:rPr>
        <w:t>ih</w:t>
      </w:r>
      <w:r>
        <w:rPr>
          <w:lang w:val="hr-HR"/>
        </w:rPr>
        <w:t xml:space="preserve"> cijena električne energije između Prve i Druge regije, dok se drugi odnosi na strukturalne razlike u cijenama, </w:t>
      </w:r>
      <w:r w:rsidR="007720A9">
        <w:rPr>
          <w:lang w:val="hr-HR"/>
        </w:rPr>
        <w:t>to jeste,</w:t>
      </w:r>
      <w:r>
        <w:rPr>
          <w:lang w:val="hr-HR"/>
        </w:rPr>
        <w:t xml:space="preserve"> razlike između tržišnih cijena električne energije koje se predviđaju u trenutku nabavke kako bi se zadovoljila potražnja </w:t>
      </w:r>
      <w:r w:rsidR="007720A9">
        <w:rPr>
          <w:lang w:val="hr-HR"/>
        </w:rPr>
        <w:t>S</w:t>
      </w:r>
      <w:r>
        <w:rPr>
          <w:lang w:val="hr-HR"/>
        </w:rPr>
        <w:t>ubjekta A za električnom energijom (odražen</w:t>
      </w:r>
      <w:r w:rsidR="007720A9">
        <w:rPr>
          <w:lang w:val="hr-HR"/>
        </w:rPr>
        <w:t>ih</w:t>
      </w:r>
      <w:r>
        <w:rPr>
          <w:lang w:val="hr-HR"/>
        </w:rPr>
        <w:t xml:space="preserve"> u zaštićenoj stavki) i tržišnih cijena električne energije u trenutku kada je</w:t>
      </w:r>
      <w:r w:rsidR="007720A9">
        <w:rPr>
          <w:lang w:val="hr-HR"/>
        </w:rPr>
        <w:t xml:space="preserve"> V</w:t>
      </w:r>
      <w:r>
        <w:rPr>
          <w:lang w:val="hr-HR"/>
        </w:rPr>
        <w:t xml:space="preserve">jetroelektrana X </w:t>
      </w:r>
      <w:r w:rsidR="00912A94">
        <w:rPr>
          <w:lang w:val="hr-HR"/>
        </w:rPr>
        <w:t xml:space="preserve">isporuči </w:t>
      </w:r>
      <w:r w:rsidR="007720A9">
        <w:rPr>
          <w:lang w:val="hr-HR"/>
        </w:rPr>
        <w:t>prema ugovoru o</w:t>
      </w:r>
      <w:r>
        <w:rPr>
          <w:lang w:val="hr-HR"/>
        </w:rPr>
        <w:t xml:space="preserve"> električn</w:t>
      </w:r>
      <w:r w:rsidR="007720A9">
        <w:rPr>
          <w:lang w:val="hr-HR"/>
        </w:rPr>
        <w:t>oj</w:t>
      </w:r>
      <w:r>
        <w:rPr>
          <w:lang w:val="hr-HR"/>
        </w:rPr>
        <w:t xml:space="preserve"> energij</w:t>
      </w:r>
      <w:r w:rsidR="007720A9">
        <w:rPr>
          <w:lang w:val="hr-HR"/>
        </w:rPr>
        <w:t>i</w:t>
      </w:r>
      <w:r>
        <w:rPr>
          <w:lang w:val="hr-HR"/>
        </w:rPr>
        <w:t xml:space="preserve"> iz </w:t>
      </w:r>
      <w:r w:rsidR="007720A9">
        <w:rPr>
          <w:lang w:val="hr-HR"/>
        </w:rPr>
        <w:t xml:space="preserve">izvora koji zavise od </w:t>
      </w:r>
      <w:r>
        <w:rPr>
          <w:lang w:val="hr-HR"/>
        </w:rPr>
        <w:t xml:space="preserve">prirodnih </w:t>
      </w:r>
      <w:r w:rsidR="007720A9">
        <w:rPr>
          <w:lang w:val="hr-HR"/>
        </w:rPr>
        <w:t>uslova</w:t>
      </w:r>
      <w:r>
        <w:rPr>
          <w:lang w:val="hr-HR"/>
        </w:rPr>
        <w:t xml:space="preserve"> </w:t>
      </w:r>
      <w:r w:rsidR="00347BAC">
        <w:rPr>
          <w:lang w:val="hr-HR"/>
        </w:rPr>
        <w:t xml:space="preserve">i koje se koriste za obračunavanje novčanih tokova za neto izmirenje (odraženih u instrumentu zaštite). </w:t>
      </w:r>
    </w:p>
    <w:p w14:paraId="48120E71" w14:textId="5E0BB9AF" w:rsidR="00014FB0" w:rsidRPr="00EF5D0A" w:rsidRDefault="00A95AF3">
      <w:pPr>
        <w:pStyle w:val="IASBNormalnpara"/>
        <w:rPr>
          <w:lang w:val="hr-HR"/>
        </w:rPr>
      </w:pPr>
      <w:r>
        <w:rPr>
          <w:lang w:val="hr-HR"/>
        </w:rPr>
        <w:t>PP</w:t>
      </w:r>
      <w:r w:rsidR="00452683">
        <w:rPr>
          <w:lang w:val="hr-HR"/>
        </w:rPr>
        <w:t>.</w:t>
      </w:r>
      <w:r w:rsidR="001C3CBD" w:rsidRPr="00EF5D0A">
        <w:rPr>
          <w:lang w:val="hr-HR"/>
        </w:rPr>
        <w:t>156</w:t>
      </w:r>
      <w:r>
        <w:rPr>
          <w:lang w:val="hr-HR"/>
        </w:rPr>
        <w:t>.</w:t>
      </w:r>
      <w:r w:rsidR="001C3CBD" w:rsidRPr="00EF5D0A">
        <w:rPr>
          <w:lang w:val="hr-HR"/>
        </w:rPr>
        <w:tab/>
      </w:r>
      <w:r w:rsidR="00463DED">
        <w:rPr>
          <w:lang w:val="hr-HR"/>
        </w:rPr>
        <w:t xml:space="preserve">Predviđene tržišne cijene za potrebe predviđenih nabavki električne energije se formiraju na osnovu očekivane buduće </w:t>
      </w:r>
      <w:r w:rsidR="006B054E">
        <w:rPr>
          <w:lang w:val="hr-HR"/>
        </w:rPr>
        <w:t>promptne</w:t>
      </w:r>
      <w:r w:rsidR="00463DED">
        <w:rPr>
          <w:lang w:val="hr-HR"/>
        </w:rPr>
        <w:t xml:space="preserve"> cijene električne energije, koja može varirati zavisno od termina nabavke (</w:t>
      </w:r>
      <w:r w:rsidR="00DF04F0">
        <w:rPr>
          <w:lang w:val="hr-HR"/>
        </w:rPr>
        <w:t xml:space="preserve">primjera radi, zavisno od toga da li on pada u periodu najviših ili nižih cijena). Na primjer, </w:t>
      </w:r>
      <w:r w:rsidR="006B054E">
        <w:rPr>
          <w:lang w:val="hr-HR"/>
        </w:rPr>
        <w:t>S</w:t>
      </w:r>
      <w:r w:rsidR="00DF04F0">
        <w:rPr>
          <w:lang w:val="hr-HR"/>
        </w:rPr>
        <w:t xml:space="preserve">ubjekt A može koristiti očekivanu buduću </w:t>
      </w:r>
      <w:r w:rsidR="006B054E">
        <w:rPr>
          <w:lang w:val="hr-HR"/>
        </w:rPr>
        <w:t xml:space="preserve">baznu </w:t>
      </w:r>
      <w:r w:rsidR="00DF04F0">
        <w:rPr>
          <w:lang w:val="hr-HR"/>
        </w:rPr>
        <w:t>cijenu u Prvoj regiji i uskladiti je prema terminu tokom nekog mjeseca kada se očekuje da se električna energija utroši kako bi odrazio stvarni trenutak nabavke kako bi se zadovoljila po</w:t>
      </w:r>
      <w:r w:rsidR="006B054E">
        <w:rPr>
          <w:lang w:val="hr-HR"/>
        </w:rPr>
        <w:t>tražnja</w:t>
      </w:r>
      <w:r w:rsidR="00DF04F0">
        <w:rPr>
          <w:lang w:val="hr-HR"/>
        </w:rPr>
        <w:t xml:space="preserve">. Primjenom ovog metoda se dolazi do prosječne predviđene tržišne cijene po količinama koje se nabave u roku mjesec dana. </w:t>
      </w:r>
    </w:p>
    <w:p w14:paraId="77C0DAFE" w14:textId="20806A9B" w:rsidR="00014FB0" w:rsidRPr="00EF5D0A" w:rsidRDefault="00A95AF3">
      <w:pPr>
        <w:pStyle w:val="IASBNormalnpara"/>
        <w:rPr>
          <w:lang w:val="hr-HR"/>
        </w:rPr>
      </w:pPr>
      <w:r>
        <w:rPr>
          <w:lang w:val="hr-HR"/>
        </w:rPr>
        <w:t>PP</w:t>
      </w:r>
      <w:r w:rsidR="00452683">
        <w:rPr>
          <w:lang w:val="hr-HR"/>
        </w:rPr>
        <w:t>.</w:t>
      </w:r>
      <w:r w:rsidR="001C3CBD" w:rsidRPr="00EF5D0A">
        <w:rPr>
          <w:lang w:val="hr-HR"/>
        </w:rPr>
        <w:t>157</w:t>
      </w:r>
      <w:r>
        <w:rPr>
          <w:lang w:val="hr-HR"/>
        </w:rPr>
        <w:t>.</w:t>
      </w:r>
      <w:r w:rsidR="001C3CBD" w:rsidRPr="00EF5D0A">
        <w:rPr>
          <w:lang w:val="hr-HR"/>
        </w:rPr>
        <w:tab/>
      </w:r>
      <w:r w:rsidR="007D3399">
        <w:rPr>
          <w:lang w:val="hr-HR"/>
        </w:rPr>
        <w:t xml:space="preserve">Predviđene tržišne cijene za količinu za koju se očekuje </w:t>
      </w:r>
      <w:r w:rsidR="006B054E">
        <w:rPr>
          <w:lang w:val="hr-HR"/>
        </w:rPr>
        <w:t>d</w:t>
      </w:r>
      <w:r w:rsidR="007D3399">
        <w:rPr>
          <w:lang w:val="hr-HR"/>
        </w:rPr>
        <w:t xml:space="preserve">a bude isporučena prema instrumentu zaštite od rizika također se formiraju na osnovu očekivane buduće promptne cijene električne energije. Na primjer, </w:t>
      </w:r>
      <w:r w:rsidR="006B054E">
        <w:rPr>
          <w:lang w:val="hr-HR"/>
        </w:rPr>
        <w:t>S</w:t>
      </w:r>
      <w:r w:rsidR="007D3399">
        <w:rPr>
          <w:lang w:val="hr-HR"/>
        </w:rPr>
        <w:t xml:space="preserve">ubjekt A bi mogao koristiti očekivanu buduću </w:t>
      </w:r>
      <w:r w:rsidR="006B054E">
        <w:rPr>
          <w:lang w:val="hr-HR"/>
        </w:rPr>
        <w:t>baznu</w:t>
      </w:r>
      <w:r w:rsidR="007D3399">
        <w:rPr>
          <w:lang w:val="hr-HR"/>
        </w:rPr>
        <w:t xml:space="preserve"> cijenu u Drugoj regiji (umjesto u Prvoj regiji jer se instrument zaštite poziva na drugačije promptno tržište) usklađenu za očekivanu proizvodnju i, u skladu s tim, profil isporuke </w:t>
      </w:r>
      <w:r w:rsidR="006B054E">
        <w:rPr>
          <w:lang w:val="hr-HR"/>
        </w:rPr>
        <w:t>V</w:t>
      </w:r>
      <w:r w:rsidR="007D3399">
        <w:rPr>
          <w:lang w:val="hr-HR"/>
        </w:rPr>
        <w:t xml:space="preserve">jetroelektrane X za isti mjesec. Primjenom ovog metoda se dolazi do druge prosječne predviđene tržišne cijene za istu mjesečnu količinu, što bi moglo voditi neučinkovitosti zaštite od rizika. </w:t>
      </w:r>
      <w:r w:rsidR="006B054E">
        <w:rPr>
          <w:lang w:val="hr-HR"/>
        </w:rPr>
        <w:t>B</w:t>
      </w:r>
      <w:r w:rsidR="007D3399">
        <w:rPr>
          <w:lang w:val="hr-HR"/>
        </w:rPr>
        <w:t xml:space="preserve">ez obzira na navedene izvore neučinkovitosti, </w:t>
      </w:r>
      <w:r w:rsidR="006B054E">
        <w:rPr>
          <w:lang w:val="hr-HR"/>
        </w:rPr>
        <w:t>S</w:t>
      </w:r>
      <w:r w:rsidR="007D3399">
        <w:rPr>
          <w:lang w:val="hr-HR"/>
        </w:rPr>
        <w:t xml:space="preserve">ubjekt A utvrđuje da ekonomski odnos postoji. </w:t>
      </w:r>
    </w:p>
    <w:p w14:paraId="3C9E293A" w14:textId="680A3F4B" w:rsidR="00014FB0" w:rsidRPr="00EF5D0A" w:rsidRDefault="001C3CBD">
      <w:pPr>
        <w:pStyle w:val="IASBSectionTitle2Ind"/>
        <w:rPr>
          <w:lang w:val="hr-HR"/>
        </w:rPr>
      </w:pPr>
      <w:bookmarkStart w:id="30" w:name="unique_82"/>
      <w:r w:rsidRPr="00EF5D0A">
        <w:rPr>
          <w:lang w:val="hr-HR"/>
        </w:rPr>
        <w:t>M</w:t>
      </w:r>
      <w:bookmarkEnd w:id="30"/>
      <w:r w:rsidR="000B6840">
        <w:rPr>
          <w:lang w:val="hr-HR"/>
        </w:rPr>
        <w:t>jerenje</w:t>
      </w:r>
    </w:p>
    <w:p w14:paraId="1AA05FBA" w14:textId="0D73F6A4" w:rsidR="00014FB0" w:rsidRPr="00EF5D0A" w:rsidRDefault="00A95AF3">
      <w:pPr>
        <w:pStyle w:val="IASBNormalnpara"/>
        <w:rPr>
          <w:lang w:val="hr-HR"/>
        </w:rPr>
      </w:pPr>
      <w:r>
        <w:rPr>
          <w:lang w:val="hr-HR"/>
        </w:rPr>
        <w:t>PP</w:t>
      </w:r>
      <w:r w:rsidR="00452683">
        <w:rPr>
          <w:lang w:val="hr-HR"/>
        </w:rPr>
        <w:t>.</w:t>
      </w:r>
      <w:r w:rsidR="001C3CBD" w:rsidRPr="00EF5D0A">
        <w:rPr>
          <w:lang w:val="hr-HR"/>
        </w:rPr>
        <w:t>158</w:t>
      </w:r>
      <w:r>
        <w:rPr>
          <w:lang w:val="hr-HR"/>
        </w:rPr>
        <w:t>.</w:t>
      </w:r>
      <w:r w:rsidR="001C3CBD" w:rsidRPr="00EF5D0A">
        <w:rPr>
          <w:lang w:val="hr-HR"/>
        </w:rPr>
        <w:tab/>
      </w:r>
      <w:r w:rsidR="006352B8">
        <w:rPr>
          <w:lang w:val="hr-HR"/>
        </w:rPr>
        <w:t>Promjenjiv</w:t>
      </w:r>
      <w:r w:rsidR="006B054E">
        <w:rPr>
          <w:lang w:val="hr-HR"/>
        </w:rPr>
        <w:t>e</w:t>
      </w:r>
      <w:r w:rsidR="006352B8">
        <w:rPr>
          <w:lang w:val="hr-HR"/>
        </w:rPr>
        <w:t xml:space="preserve"> nominaln</w:t>
      </w:r>
      <w:r w:rsidR="006B054E">
        <w:rPr>
          <w:lang w:val="hr-HR"/>
        </w:rPr>
        <w:t>e</w:t>
      </w:r>
      <w:r w:rsidR="006352B8">
        <w:rPr>
          <w:lang w:val="hr-HR"/>
        </w:rPr>
        <w:t xml:space="preserve"> </w:t>
      </w:r>
      <w:r w:rsidR="006B054E">
        <w:rPr>
          <w:lang w:val="hr-HR"/>
        </w:rPr>
        <w:t>vrijednosti</w:t>
      </w:r>
      <w:r w:rsidR="006352B8">
        <w:rPr>
          <w:lang w:val="hr-HR"/>
        </w:rPr>
        <w:t xml:space="preserve"> zaštićene stavke i zaštićenog instrumenta </w:t>
      </w:r>
      <w:r w:rsidR="00DC4EA3">
        <w:rPr>
          <w:lang w:val="hr-HR"/>
        </w:rPr>
        <w:t xml:space="preserve">se obje zasnivaju na promjenjivoj količini električne energije iz izvora </w:t>
      </w:r>
      <w:r w:rsidR="006B054E">
        <w:rPr>
          <w:lang w:val="hr-HR"/>
        </w:rPr>
        <w:t xml:space="preserve">zavisnih od prirodnih uslova </w:t>
      </w:r>
      <w:r w:rsidR="00DC4EA3">
        <w:rPr>
          <w:lang w:val="hr-HR"/>
        </w:rPr>
        <w:t xml:space="preserve">koju se očekuje da </w:t>
      </w:r>
      <w:r w:rsidR="006B054E">
        <w:rPr>
          <w:lang w:val="hr-HR"/>
        </w:rPr>
        <w:t>V</w:t>
      </w:r>
      <w:r w:rsidR="00DC4EA3">
        <w:rPr>
          <w:lang w:val="hr-HR"/>
        </w:rPr>
        <w:t>jetroelektrana X isporuči na tržišt</w:t>
      </w:r>
      <w:r w:rsidR="006B054E">
        <w:rPr>
          <w:lang w:val="hr-HR"/>
        </w:rPr>
        <w:t>e</w:t>
      </w:r>
      <w:r w:rsidR="00DC4EA3">
        <w:rPr>
          <w:lang w:val="hr-HR"/>
        </w:rPr>
        <w:t xml:space="preserve"> Druge regije. Dakle, </w:t>
      </w:r>
      <w:r w:rsidR="006B054E">
        <w:rPr>
          <w:lang w:val="hr-HR"/>
        </w:rPr>
        <w:t>S</w:t>
      </w:r>
      <w:r w:rsidR="00DC4EA3">
        <w:rPr>
          <w:lang w:val="hr-HR"/>
        </w:rPr>
        <w:t xml:space="preserve">ubjekt A koristi iste pretpostavke u vezi s količinom koje koristi i za mjerenje ugovora </w:t>
      </w:r>
      <w:r w:rsidR="006B054E">
        <w:rPr>
          <w:lang w:val="hr-HR"/>
        </w:rPr>
        <w:t>o</w:t>
      </w:r>
      <w:r w:rsidR="00DC4EA3">
        <w:rPr>
          <w:lang w:val="hr-HR"/>
        </w:rPr>
        <w:t xml:space="preserve"> električn</w:t>
      </w:r>
      <w:r w:rsidR="006B054E">
        <w:rPr>
          <w:lang w:val="hr-HR"/>
        </w:rPr>
        <w:t>oj</w:t>
      </w:r>
      <w:r w:rsidR="00DC4EA3">
        <w:rPr>
          <w:lang w:val="hr-HR"/>
        </w:rPr>
        <w:t xml:space="preserve"> energij</w:t>
      </w:r>
      <w:r w:rsidR="006B054E">
        <w:rPr>
          <w:lang w:val="hr-HR"/>
        </w:rPr>
        <w:t>i</w:t>
      </w:r>
      <w:r w:rsidR="00DC4EA3">
        <w:rPr>
          <w:lang w:val="hr-HR"/>
        </w:rPr>
        <w:t xml:space="preserve"> iz </w:t>
      </w:r>
      <w:r w:rsidR="006B054E">
        <w:rPr>
          <w:lang w:val="hr-HR"/>
        </w:rPr>
        <w:t xml:space="preserve">izvora zavisnih od </w:t>
      </w:r>
      <w:r w:rsidR="00DC4EA3">
        <w:rPr>
          <w:lang w:val="hr-HR"/>
        </w:rPr>
        <w:t xml:space="preserve">prirodnih </w:t>
      </w:r>
      <w:r w:rsidR="006B054E">
        <w:rPr>
          <w:lang w:val="hr-HR"/>
        </w:rPr>
        <w:t>uslova</w:t>
      </w:r>
      <w:r w:rsidR="00DC4EA3">
        <w:rPr>
          <w:lang w:val="hr-HR"/>
        </w:rPr>
        <w:t xml:space="preserve"> kako bi razvio hipotetički derivat za mjerenje promjena sadašnje vrijednosti zaštićene stavke. U odnosu na predviđene tržišne cijene, međutim, on svoje pretpostavke zasniva na karakteristikama pripadajućih tržišta kako su definiran</w:t>
      </w:r>
      <w:r w:rsidR="006B054E">
        <w:rPr>
          <w:lang w:val="hr-HR"/>
        </w:rPr>
        <w:t>a</w:t>
      </w:r>
      <w:r w:rsidR="00DC4EA3">
        <w:rPr>
          <w:lang w:val="hr-HR"/>
        </w:rPr>
        <w:t xml:space="preserve"> tačkama PP</w:t>
      </w:r>
      <w:r w:rsidR="006B054E">
        <w:rPr>
          <w:lang w:val="hr-HR"/>
        </w:rPr>
        <w:t>.</w:t>
      </w:r>
      <w:r w:rsidR="001C3CBD" w:rsidRPr="00EF5D0A">
        <w:rPr>
          <w:lang w:val="hr-HR"/>
        </w:rPr>
        <w:t>156</w:t>
      </w:r>
      <w:r w:rsidR="00DC4EA3">
        <w:rPr>
          <w:lang w:val="hr-HR"/>
        </w:rPr>
        <w:t>. i PP</w:t>
      </w:r>
      <w:r w:rsidR="006B054E">
        <w:rPr>
          <w:lang w:val="hr-HR"/>
        </w:rPr>
        <w:t>.</w:t>
      </w:r>
      <w:r w:rsidR="001C3CBD" w:rsidRPr="00EF5D0A">
        <w:rPr>
          <w:lang w:val="hr-HR"/>
        </w:rPr>
        <w:t>157.</w:t>
      </w:r>
    </w:p>
    <w:p w14:paraId="15852B41" w14:textId="4FC3B04A" w:rsidR="00014FB0" w:rsidRPr="00EF5D0A" w:rsidRDefault="006352B8">
      <w:pPr>
        <w:pStyle w:val="IASBNormalnpara"/>
        <w:rPr>
          <w:lang w:val="hr-HR"/>
        </w:rPr>
      </w:pPr>
      <w:r>
        <w:rPr>
          <w:lang w:val="hr-HR"/>
        </w:rPr>
        <w:t>PP</w:t>
      </w:r>
      <w:r w:rsidR="00452683">
        <w:rPr>
          <w:lang w:val="hr-HR"/>
        </w:rPr>
        <w:t>.</w:t>
      </w:r>
      <w:r w:rsidR="001C3CBD" w:rsidRPr="00EF5D0A">
        <w:rPr>
          <w:lang w:val="hr-HR"/>
        </w:rPr>
        <w:t>159</w:t>
      </w:r>
      <w:r>
        <w:rPr>
          <w:lang w:val="hr-HR"/>
        </w:rPr>
        <w:t>.</w:t>
      </w:r>
      <w:r w:rsidR="001C3CBD" w:rsidRPr="00EF5D0A">
        <w:rPr>
          <w:lang w:val="hr-HR"/>
        </w:rPr>
        <w:tab/>
      </w:r>
      <w:r w:rsidR="00083AD0">
        <w:rPr>
          <w:lang w:val="hr-HR"/>
        </w:rPr>
        <w:t xml:space="preserve">Subjekt A usklađuje rezervu </w:t>
      </w:r>
      <w:r w:rsidR="00897C30">
        <w:rPr>
          <w:lang w:val="hr-HR"/>
        </w:rPr>
        <w:t xml:space="preserve">za </w:t>
      </w:r>
      <w:r w:rsidR="00083AD0">
        <w:rPr>
          <w:lang w:val="hr-HR"/>
        </w:rPr>
        <w:t>zaštit</w:t>
      </w:r>
      <w:r w:rsidR="00897C30">
        <w:rPr>
          <w:lang w:val="hr-HR"/>
        </w:rPr>
        <w:t>u</w:t>
      </w:r>
      <w:r w:rsidR="00083AD0">
        <w:rPr>
          <w:lang w:val="hr-HR"/>
        </w:rPr>
        <w:t xml:space="preserve"> novčanog toka u skladu sa podtačkom (a) tačke </w:t>
      </w:r>
      <w:r w:rsidR="001C3CBD" w:rsidRPr="00EF5D0A">
        <w:rPr>
          <w:lang w:val="hr-HR"/>
        </w:rPr>
        <w:t>6.5.11</w:t>
      </w:r>
      <w:r w:rsidR="00083AD0">
        <w:rPr>
          <w:lang w:val="hr-HR"/>
        </w:rPr>
        <w:t xml:space="preserve"> prema nižem od sljedećih iznosa: </w:t>
      </w:r>
    </w:p>
    <w:p w14:paraId="30D9176F" w14:textId="4D39CBD4" w:rsidR="00014FB0" w:rsidRPr="00EF5D0A" w:rsidRDefault="001C3CBD">
      <w:pPr>
        <w:pStyle w:val="IASBNormalnparaL1"/>
        <w:rPr>
          <w:lang w:val="hr-HR"/>
        </w:rPr>
      </w:pPr>
      <w:r w:rsidRPr="00EF5D0A">
        <w:rPr>
          <w:lang w:val="hr-HR"/>
        </w:rPr>
        <w:t>(a)</w:t>
      </w:r>
      <w:r w:rsidRPr="00EF5D0A">
        <w:rPr>
          <w:lang w:val="hr-HR"/>
        </w:rPr>
        <w:tab/>
      </w:r>
      <w:r w:rsidR="00083AD0">
        <w:rPr>
          <w:lang w:val="hr-HR"/>
        </w:rPr>
        <w:t xml:space="preserve">kumulativnoj dobiti ili gubitku </w:t>
      </w:r>
      <w:r w:rsidR="00897C30">
        <w:rPr>
          <w:lang w:val="hr-HR"/>
        </w:rPr>
        <w:t>od</w:t>
      </w:r>
      <w:r w:rsidR="00083AD0">
        <w:rPr>
          <w:lang w:val="hr-HR"/>
        </w:rPr>
        <w:t xml:space="preserve"> instrumen</w:t>
      </w:r>
      <w:r w:rsidR="00897C30">
        <w:rPr>
          <w:lang w:val="hr-HR"/>
        </w:rPr>
        <w:t>ta</w:t>
      </w:r>
      <w:r w:rsidR="00083AD0">
        <w:rPr>
          <w:lang w:val="hr-HR"/>
        </w:rPr>
        <w:t xml:space="preserve"> zaštite od početka primjene zaštite od rizika; ili</w:t>
      </w:r>
    </w:p>
    <w:p w14:paraId="1364C75B" w14:textId="0409ADD0" w:rsidR="00014FB0" w:rsidRPr="00EF5D0A" w:rsidRDefault="001C3CBD">
      <w:pPr>
        <w:pStyle w:val="IASBNormalnparaL1"/>
        <w:rPr>
          <w:lang w:val="hr-HR"/>
        </w:rPr>
      </w:pPr>
      <w:r w:rsidRPr="00EF5D0A">
        <w:rPr>
          <w:lang w:val="hr-HR"/>
        </w:rPr>
        <w:t>(b)</w:t>
      </w:r>
      <w:r w:rsidRPr="00EF5D0A">
        <w:rPr>
          <w:lang w:val="hr-HR"/>
        </w:rPr>
        <w:tab/>
      </w:r>
      <w:r w:rsidR="00083AD0">
        <w:rPr>
          <w:lang w:val="hr-HR"/>
        </w:rPr>
        <w:t xml:space="preserve">kumulativnoj promjeni fer vrijednosti (sadašnje vrijednosti) zaštićene stavke (to jeste, sadašnjoj vrijednosti kumulativne promjene zaštićenih očekivanih budućih </w:t>
      </w:r>
      <w:r w:rsidR="00897C30">
        <w:rPr>
          <w:lang w:val="hr-HR"/>
        </w:rPr>
        <w:t xml:space="preserve">novčanih </w:t>
      </w:r>
      <w:r w:rsidR="00083AD0">
        <w:rPr>
          <w:lang w:val="hr-HR"/>
        </w:rPr>
        <w:t xml:space="preserve">tokova, koje su, </w:t>
      </w:r>
      <w:r w:rsidR="00897C30">
        <w:rPr>
          <w:lang w:val="hr-HR"/>
        </w:rPr>
        <w:t xml:space="preserve">isključivo </w:t>
      </w:r>
      <w:r w:rsidR="00083AD0">
        <w:rPr>
          <w:lang w:val="hr-HR"/>
        </w:rPr>
        <w:t xml:space="preserve">za potrebe pretpostavki o količinama, usklađene s onima od instrumenta zaštite) od početka primjene zaštite od rizika. </w:t>
      </w:r>
    </w:p>
    <w:p w14:paraId="1C40B338" w14:textId="77777777" w:rsidR="00014FB0" w:rsidRPr="00EF5D0A" w:rsidRDefault="00014FB0">
      <w:pPr>
        <w:pStyle w:val="SectionEnd"/>
        <w:rPr>
          <w:lang w:val="hr-HR"/>
        </w:rPr>
        <w:sectPr w:rsidR="00014FB0" w:rsidRPr="00EF5D0A">
          <w:headerReference w:type="even" r:id="rId38"/>
          <w:headerReference w:type="default" r:id="rId39"/>
          <w:footerReference w:type="even" r:id="rId40"/>
          <w:footerReference w:type="default" r:id="rId41"/>
          <w:pgSz w:w="11895" w:h="16834"/>
          <w:pgMar w:top="1440" w:right="1440" w:bottom="1440" w:left="1440" w:header="720" w:footer="720" w:gutter="0"/>
          <w:cols w:space="720"/>
        </w:sectPr>
      </w:pPr>
    </w:p>
    <w:p w14:paraId="792837EB" w14:textId="4643BBAD" w:rsidR="00014FB0" w:rsidRPr="00EF5D0A" w:rsidRDefault="00486BB2" w:rsidP="003727BB">
      <w:pPr>
        <w:pStyle w:val="IASBSectionTitle2NonInd"/>
        <w:spacing w:before="100"/>
        <w:rPr>
          <w:lang w:val="hr-HR"/>
        </w:rPr>
      </w:pPr>
      <w:bookmarkStart w:id="31" w:name="unique_11"/>
      <w:r>
        <w:rPr>
          <w:lang w:val="hr-HR"/>
        </w:rPr>
        <w:lastRenderedPageBreak/>
        <w:t xml:space="preserve">Izmjene i dopune Osnova za donošenje zaključaka </w:t>
      </w:r>
      <w:r w:rsidR="007371BA">
        <w:rPr>
          <w:lang w:val="hr-HR"/>
        </w:rPr>
        <w:t>za</w:t>
      </w:r>
      <w:r>
        <w:rPr>
          <w:lang w:val="hr-HR"/>
        </w:rPr>
        <w:t xml:space="preserve"> MSFI</w:t>
      </w:r>
      <w:r w:rsidR="001C3CBD" w:rsidRPr="00EF5D0A">
        <w:rPr>
          <w:lang w:val="hr-HR"/>
        </w:rPr>
        <w:t xml:space="preserve"> 9 </w:t>
      </w:r>
      <w:r w:rsidR="001C3CBD" w:rsidRPr="00EF5D0A">
        <w:rPr>
          <w:i/>
          <w:lang w:val="hr-HR"/>
        </w:rPr>
        <w:t>Finan</w:t>
      </w:r>
      <w:r>
        <w:rPr>
          <w:i/>
          <w:lang w:val="hr-HR"/>
        </w:rPr>
        <w:t>sijski</w:t>
      </w:r>
      <w:r w:rsidR="001C3CBD" w:rsidRPr="00EF5D0A">
        <w:rPr>
          <w:i/>
          <w:lang w:val="hr-HR"/>
        </w:rPr>
        <w:t xml:space="preserve"> </w:t>
      </w:r>
      <w:r>
        <w:rPr>
          <w:i/>
          <w:lang w:val="hr-HR"/>
        </w:rPr>
        <w:t>i</w:t>
      </w:r>
      <w:r w:rsidR="001C3CBD" w:rsidRPr="00EF5D0A">
        <w:rPr>
          <w:i/>
          <w:lang w:val="hr-HR"/>
        </w:rPr>
        <w:t>nstrument</w:t>
      </w:r>
      <w:bookmarkEnd w:id="31"/>
      <w:r>
        <w:rPr>
          <w:i/>
          <w:lang w:val="hr-HR"/>
        </w:rPr>
        <w:t>i</w:t>
      </w:r>
    </w:p>
    <w:p w14:paraId="16F624A4" w14:textId="77777777" w:rsidR="00014FB0" w:rsidRPr="003727BB" w:rsidRDefault="00014FB0">
      <w:pPr>
        <w:pStyle w:val="IASBNormalnpara"/>
        <w:rPr>
          <w:sz w:val="6"/>
          <w:szCs w:val="6"/>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014FB0" w:rsidRPr="00897C30" w14:paraId="1BFFB980" w14:textId="77777777">
        <w:tc>
          <w:tcPr>
            <w:tcW w:w="50" w:type="pct"/>
            <w:tcBorders>
              <w:bottom w:val="single" w:sz="0" w:space="0" w:color="auto"/>
              <w:right w:val="single" w:sz="0" w:space="0" w:color="auto"/>
            </w:tcBorders>
          </w:tcPr>
          <w:p w14:paraId="7BE85B33" w14:textId="50A4D362" w:rsidR="00014FB0" w:rsidRPr="00EF5D0A" w:rsidRDefault="0065683F">
            <w:pPr>
              <w:pStyle w:val="IASBTableArial"/>
              <w:rPr>
                <w:lang w:val="hr-HR"/>
              </w:rPr>
            </w:pPr>
            <w:r>
              <w:rPr>
                <w:lang w:val="hr-HR"/>
              </w:rPr>
              <w:t xml:space="preserve">Uvedene su tačke od </w:t>
            </w:r>
            <w:r w:rsidR="00897C30">
              <w:rPr>
                <w:lang w:val="hr-HR"/>
              </w:rPr>
              <w:t>OZ</w:t>
            </w:r>
            <w:r w:rsidR="001C3CBD" w:rsidRPr="00EF5D0A">
              <w:rPr>
                <w:lang w:val="hr-HR"/>
              </w:rPr>
              <w:t>2.17A</w:t>
            </w:r>
            <w:r>
              <w:rPr>
                <w:lang w:val="hr-HR"/>
              </w:rPr>
              <w:t xml:space="preserve"> do </w:t>
            </w:r>
            <w:r w:rsidR="00897C30">
              <w:rPr>
                <w:lang w:val="hr-HR"/>
              </w:rPr>
              <w:t>OZ</w:t>
            </w:r>
            <w:r w:rsidR="001C3CBD" w:rsidRPr="00EF5D0A">
              <w:rPr>
                <w:lang w:val="hr-HR"/>
              </w:rPr>
              <w:t>2.17I,</w:t>
            </w:r>
            <w:r>
              <w:rPr>
                <w:lang w:val="hr-HR"/>
              </w:rPr>
              <w:t xml:space="preserve"> od</w:t>
            </w:r>
            <w:r w:rsidR="001C3CBD" w:rsidRPr="00EF5D0A">
              <w:rPr>
                <w:lang w:val="hr-HR"/>
              </w:rPr>
              <w:t xml:space="preserve"> </w:t>
            </w:r>
            <w:r w:rsidR="00897C30">
              <w:rPr>
                <w:lang w:val="hr-HR"/>
              </w:rPr>
              <w:t>OZ</w:t>
            </w:r>
            <w:r w:rsidR="001C3CBD" w:rsidRPr="00EF5D0A">
              <w:rPr>
                <w:lang w:val="hr-HR"/>
              </w:rPr>
              <w:t>2.18A</w:t>
            </w:r>
            <w:r>
              <w:rPr>
                <w:lang w:val="hr-HR"/>
              </w:rPr>
              <w:t xml:space="preserve"> do</w:t>
            </w:r>
            <w:r w:rsidR="00897C30">
              <w:rPr>
                <w:lang w:val="hr-HR"/>
              </w:rPr>
              <w:t xml:space="preserve"> OZ</w:t>
            </w:r>
            <w:r w:rsidR="001C3CBD" w:rsidRPr="00EF5D0A">
              <w:rPr>
                <w:lang w:val="hr-HR"/>
              </w:rPr>
              <w:t xml:space="preserve">2.18K, </w:t>
            </w:r>
            <w:r>
              <w:rPr>
                <w:lang w:val="hr-HR"/>
              </w:rPr>
              <w:t xml:space="preserve">od </w:t>
            </w:r>
            <w:r w:rsidR="00897C30">
              <w:rPr>
                <w:lang w:val="hr-HR"/>
              </w:rPr>
              <w:t>OZ</w:t>
            </w:r>
            <w:r w:rsidR="001C3CBD" w:rsidRPr="00EF5D0A">
              <w:rPr>
                <w:lang w:val="hr-HR"/>
              </w:rPr>
              <w:t>6.661</w:t>
            </w:r>
            <w:r>
              <w:rPr>
                <w:lang w:val="hr-HR"/>
              </w:rPr>
              <w:t xml:space="preserve"> do </w:t>
            </w:r>
            <w:r w:rsidR="00897C30">
              <w:rPr>
                <w:lang w:val="hr-HR"/>
              </w:rPr>
              <w:t>OZ</w:t>
            </w:r>
            <w:r w:rsidR="001C3CBD" w:rsidRPr="00EF5D0A">
              <w:rPr>
                <w:lang w:val="hr-HR"/>
              </w:rPr>
              <w:t xml:space="preserve">6.683, </w:t>
            </w:r>
            <w:r>
              <w:rPr>
                <w:lang w:val="hr-HR"/>
              </w:rPr>
              <w:t xml:space="preserve">te od </w:t>
            </w:r>
            <w:r w:rsidR="00897C30">
              <w:rPr>
                <w:lang w:val="hr-HR"/>
              </w:rPr>
              <w:t>OZ</w:t>
            </w:r>
            <w:r w:rsidR="001C3CBD" w:rsidRPr="00EF5D0A">
              <w:rPr>
                <w:lang w:val="hr-HR"/>
              </w:rPr>
              <w:t>7.104</w:t>
            </w:r>
            <w:r w:rsidR="00037DD7">
              <w:rPr>
                <w:lang w:val="hr-HR"/>
              </w:rPr>
              <w:t>.</w:t>
            </w:r>
            <w:r>
              <w:rPr>
                <w:lang w:val="hr-HR"/>
              </w:rPr>
              <w:t xml:space="preserve"> do </w:t>
            </w:r>
            <w:r w:rsidR="00897C30">
              <w:rPr>
                <w:lang w:val="hr-HR"/>
              </w:rPr>
              <w:t>OZ</w:t>
            </w:r>
            <w:r w:rsidR="001C3CBD" w:rsidRPr="00EF5D0A">
              <w:rPr>
                <w:lang w:val="hr-HR"/>
              </w:rPr>
              <w:t>7.110</w:t>
            </w:r>
            <w:r>
              <w:rPr>
                <w:lang w:val="hr-HR"/>
              </w:rPr>
              <w:t xml:space="preserve">, s pripadajućim podnaslovima, kao i tačke od </w:t>
            </w:r>
            <w:r w:rsidR="00897C30">
              <w:rPr>
                <w:lang w:val="hr-HR"/>
              </w:rPr>
              <w:t>SM</w:t>
            </w:r>
            <w:r w:rsidR="001C3CBD" w:rsidRPr="00EF5D0A">
              <w:rPr>
                <w:lang w:val="hr-HR"/>
              </w:rPr>
              <w:t>1</w:t>
            </w:r>
            <w:r w:rsidR="00037DD7">
              <w:rPr>
                <w:lang w:val="hr-HR"/>
              </w:rPr>
              <w:t>.</w:t>
            </w:r>
            <w:r>
              <w:rPr>
                <w:lang w:val="hr-HR"/>
              </w:rPr>
              <w:t xml:space="preserve"> do </w:t>
            </w:r>
            <w:r w:rsidR="00897C30">
              <w:rPr>
                <w:lang w:val="hr-HR"/>
              </w:rPr>
              <w:t>SM</w:t>
            </w:r>
            <w:r w:rsidR="001C3CBD" w:rsidRPr="00EF5D0A">
              <w:rPr>
                <w:lang w:val="hr-HR"/>
              </w:rPr>
              <w:t>11</w:t>
            </w:r>
            <w:r w:rsidR="00037DD7">
              <w:rPr>
                <w:lang w:val="hr-HR"/>
              </w:rPr>
              <w:t>.</w:t>
            </w:r>
            <w:r w:rsidR="001C3CBD" w:rsidRPr="00EF5D0A">
              <w:rPr>
                <w:lang w:val="hr-HR"/>
              </w:rPr>
              <w:t xml:space="preserve"> </w:t>
            </w:r>
            <w:r>
              <w:rPr>
                <w:lang w:val="hr-HR"/>
              </w:rPr>
              <w:t xml:space="preserve">i njihovi podnaslovi. U funkciji bolje preglednosti, novi tekst je podvučen. </w:t>
            </w:r>
          </w:p>
        </w:tc>
      </w:tr>
    </w:tbl>
    <w:p w14:paraId="3C7C34A6" w14:textId="77777777" w:rsidR="00014FB0" w:rsidRPr="003727BB" w:rsidRDefault="00014FB0">
      <w:pPr>
        <w:pStyle w:val="IASBNormalnpara"/>
        <w:rPr>
          <w:sz w:val="10"/>
          <w:szCs w:val="10"/>
          <w:lang w:val="hr-HR"/>
        </w:rPr>
      </w:pPr>
    </w:p>
    <w:p w14:paraId="03FC9348" w14:textId="2168C99A" w:rsidR="00014FB0" w:rsidRPr="00EF5D0A" w:rsidRDefault="0065683F">
      <w:pPr>
        <w:pStyle w:val="IASBSectionTitle1NonInd"/>
        <w:rPr>
          <w:lang w:val="hr-HR"/>
        </w:rPr>
      </w:pPr>
      <w:bookmarkStart w:id="32" w:name="unique_34"/>
      <w:r>
        <w:rPr>
          <w:lang w:val="hr-HR"/>
        </w:rPr>
        <w:t>Djelokrug</w:t>
      </w:r>
      <w:r w:rsidR="001C3CBD" w:rsidRPr="00EF5D0A">
        <w:rPr>
          <w:lang w:val="hr-HR"/>
        </w:rPr>
        <w:t xml:space="preserve"> (</w:t>
      </w:r>
      <w:r>
        <w:rPr>
          <w:lang w:val="hr-HR"/>
        </w:rPr>
        <w:t>Poglavlje</w:t>
      </w:r>
      <w:r w:rsidR="001C3CBD" w:rsidRPr="00EF5D0A">
        <w:rPr>
          <w:lang w:val="hr-HR"/>
        </w:rPr>
        <w:t xml:space="preserve"> 2)</w:t>
      </w:r>
      <w:bookmarkEnd w:id="32"/>
    </w:p>
    <w:p w14:paraId="0BAAF5DE" w14:textId="77777777" w:rsidR="00014FB0" w:rsidRPr="00EF5D0A" w:rsidRDefault="001C3CBD">
      <w:pPr>
        <w:pStyle w:val="IASBNormalnpara"/>
        <w:rPr>
          <w:lang w:val="hr-HR"/>
        </w:rPr>
      </w:pPr>
      <w:r w:rsidRPr="00EF5D0A">
        <w:rPr>
          <w:lang w:val="hr-HR"/>
        </w:rPr>
        <w:tab/>
        <w:t>...</w:t>
      </w:r>
    </w:p>
    <w:p w14:paraId="38A70EC7" w14:textId="12A52CD2" w:rsidR="00014FB0" w:rsidRPr="00464E07" w:rsidRDefault="00A65713" w:rsidP="003727BB">
      <w:pPr>
        <w:pStyle w:val="IASBSectionTitle2Ind"/>
        <w:spacing w:before="180"/>
        <w:rPr>
          <w:sz w:val="25"/>
          <w:szCs w:val="25"/>
          <w:lang w:val="hr-HR"/>
        </w:rPr>
      </w:pPr>
      <w:bookmarkStart w:id="33" w:name="unique_95"/>
      <w:r w:rsidRPr="00464E07">
        <w:rPr>
          <w:sz w:val="25"/>
          <w:szCs w:val="25"/>
          <w:lang w:val="hr-HR"/>
        </w:rPr>
        <w:t xml:space="preserve">Ugovori </w:t>
      </w:r>
      <w:r w:rsidR="007371BA" w:rsidRPr="00464E07">
        <w:rPr>
          <w:sz w:val="25"/>
          <w:szCs w:val="25"/>
          <w:lang w:val="hr-HR"/>
        </w:rPr>
        <w:t>o</w:t>
      </w:r>
      <w:r w:rsidRPr="00464E07">
        <w:rPr>
          <w:sz w:val="25"/>
          <w:szCs w:val="25"/>
          <w:lang w:val="hr-HR"/>
        </w:rPr>
        <w:t xml:space="preserve"> električn</w:t>
      </w:r>
      <w:r w:rsidR="007371BA" w:rsidRPr="00464E07">
        <w:rPr>
          <w:sz w:val="25"/>
          <w:szCs w:val="25"/>
          <w:lang w:val="hr-HR"/>
        </w:rPr>
        <w:t>oj</w:t>
      </w:r>
      <w:r w:rsidRPr="00464E07">
        <w:rPr>
          <w:sz w:val="25"/>
          <w:szCs w:val="25"/>
          <w:lang w:val="hr-HR"/>
        </w:rPr>
        <w:t xml:space="preserve"> energij</w:t>
      </w:r>
      <w:r w:rsidR="007371BA" w:rsidRPr="00464E07">
        <w:rPr>
          <w:sz w:val="25"/>
          <w:szCs w:val="25"/>
          <w:lang w:val="hr-HR"/>
        </w:rPr>
        <w:t>i</w:t>
      </w:r>
      <w:r w:rsidRPr="00464E07">
        <w:rPr>
          <w:sz w:val="25"/>
          <w:szCs w:val="25"/>
          <w:lang w:val="hr-HR"/>
        </w:rPr>
        <w:t xml:space="preserve"> iz </w:t>
      </w:r>
      <w:r w:rsidR="007371BA" w:rsidRPr="00464E07">
        <w:rPr>
          <w:sz w:val="25"/>
          <w:szCs w:val="25"/>
          <w:lang w:val="hr-HR"/>
        </w:rPr>
        <w:t xml:space="preserve">izvora zavisnih od </w:t>
      </w:r>
      <w:r w:rsidRPr="00464E07">
        <w:rPr>
          <w:sz w:val="25"/>
          <w:szCs w:val="25"/>
          <w:lang w:val="hr-HR"/>
        </w:rPr>
        <w:t xml:space="preserve">prirodnih </w:t>
      </w:r>
      <w:r w:rsidR="007371BA" w:rsidRPr="00464E07">
        <w:rPr>
          <w:sz w:val="25"/>
          <w:szCs w:val="25"/>
          <w:lang w:val="hr-HR"/>
        </w:rPr>
        <w:t>uslova</w:t>
      </w:r>
      <w:r w:rsidRPr="00464E07">
        <w:rPr>
          <w:sz w:val="25"/>
          <w:szCs w:val="25"/>
          <w:lang w:val="hr-HR"/>
        </w:rPr>
        <w:t xml:space="preserve"> </w:t>
      </w:r>
      <w:bookmarkEnd w:id="33"/>
    </w:p>
    <w:p w14:paraId="7BEECCEB" w14:textId="2526E6D9" w:rsidR="00014FB0" w:rsidRPr="00EF5D0A" w:rsidRDefault="00A4149E" w:rsidP="003727BB">
      <w:pPr>
        <w:pStyle w:val="IASBSectionTitle3Ind"/>
        <w:spacing w:before="180"/>
        <w:rPr>
          <w:lang w:val="hr-HR"/>
        </w:rPr>
      </w:pPr>
      <w:bookmarkStart w:id="34" w:name="unique_96"/>
      <w:r>
        <w:rPr>
          <w:lang w:val="hr-HR"/>
        </w:rPr>
        <w:t>Historijat</w:t>
      </w:r>
      <w:bookmarkEnd w:id="34"/>
    </w:p>
    <w:p w14:paraId="13385167" w14:textId="6E6E36E9" w:rsidR="00014FB0" w:rsidRPr="00EF5D0A" w:rsidRDefault="00A92D4A">
      <w:pPr>
        <w:pStyle w:val="IASBNormalnpara"/>
        <w:rPr>
          <w:lang w:val="hr-HR"/>
        </w:rPr>
      </w:pPr>
      <w:r>
        <w:rPr>
          <w:lang w:val="hr-HR"/>
        </w:rPr>
        <w:t>OZ</w:t>
      </w:r>
      <w:r w:rsidR="001C3CBD" w:rsidRPr="00EF5D0A">
        <w:rPr>
          <w:lang w:val="hr-HR"/>
        </w:rPr>
        <w:t>2.17A</w:t>
      </w:r>
      <w:r w:rsidR="001C3CBD" w:rsidRPr="00EF5D0A">
        <w:rPr>
          <w:lang w:val="hr-HR"/>
        </w:rPr>
        <w:tab/>
      </w:r>
      <w:r>
        <w:rPr>
          <w:lang w:val="hr-HR"/>
        </w:rPr>
        <w:t xml:space="preserve">U decembru 2024. godine, </w:t>
      </w:r>
      <w:r w:rsidRPr="00A92D4A">
        <w:rPr>
          <w:i/>
          <w:iCs/>
          <w:lang w:val="hr-HR"/>
        </w:rPr>
        <w:t>IASB</w:t>
      </w:r>
      <w:r>
        <w:rPr>
          <w:lang w:val="hr-HR"/>
        </w:rPr>
        <w:t xml:space="preserve"> je izdao dokument </w:t>
      </w:r>
      <w:r w:rsidR="00DF65E9">
        <w:rPr>
          <w:i/>
          <w:lang w:val="hr-HR"/>
        </w:rPr>
        <w:t xml:space="preserve">Ugovori </w:t>
      </w:r>
      <w:r w:rsidR="00037DD7">
        <w:rPr>
          <w:i/>
          <w:lang w:val="hr-HR"/>
        </w:rPr>
        <w:t>o</w:t>
      </w:r>
      <w:r w:rsidR="00DF65E9">
        <w:rPr>
          <w:i/>
          <w:lang w:val="hr-HR"/>
        </w:rPr>
        <w:t xml:space="preserve"> električn</w:t>
      </w:r>
      <w:r w:rsidR="00037DD7">
        <w:rPr>
          <w:i/>
          <w:lang w:val="hr-HR"/>
        </w:rPr>
        <w:t>oj</w:t>
      </w:r>
      <w:r w:rsidR="00DF65E9">
        <w:rPr>
          <w:i/>
          <w:lang w:val="hr-HR"/>
        </w:rPr>
        <w:t xml:space="preserve"> energij</w:t>
      </w:r>
      <w:r w:rsidR="00037DD7">
        <w:rPr>
          <w:i/>
          <w:lang w:val="hr-HR"/>
        </w:rPr>
        <w:t>i</w:t>
      </w:r>
      <w:r w:rsidR="00DF65E9">
        <w:rPr>
          <w:i/>
          <w:lang w:val="hr-HR"/>
        </w:rPr>
        <w:t xml:space="preserve"> iz izvora zavisnih od prirodnih uslova</w:t>
      </w:r>
      <w:r w:rsidR="001C3CBD" w:rsidRPr="00EF5D0A">
        <w:rPr>
          <w:lang w:val="hr-HR"/>
        </w:rPr>
        <w:t xml:space="preserve">, </w:t>
      </w:r>
      <w:r w:rsidR="005540B9">
        <w:rPr>
          <w:lang w:val="hr-HR"/>
        </w:rPr>
        <w:t xml:space="preserve">kojim su izvršene izmjene i dopune MSFI-ja 9 i MSFI-ja 7 </w:t>
      </w:r>
      <w:r w:rsidR="001C3CBD" w:rsidRPr="00EF5D0A">
        <w:rPr>
          <w:i/>
          <w:lang w:val="hr-HR"/>
        </w:rPr>
        <w:t>Finan</w:t>
      </w:r>
      <w:r w:rsidR="005540B9">
        <w:rPr>
          <w:i/>
          <w:lang w:val="hr-HR"/>
        </w:rPr>
        <w:t>s</w:t>
      </w:r>
      <w:r w:rsidR="001C3CBD" w:rsidRPr="00EF5D0A">
        <w:rPr>
          <w:i/>
          <w:lang w:val="hr-HR"/>
        </w:rPr>
        <w:t>i</w:t>
      </w:r>
      <w:r w:rsidR="005540B9">
        <w:rPr>
          <w:i/>
          <w:lang w:val="hr-HR"/>
        </w:rPr>
        <w:t>jski</w:t>
      </w:r>
      <w:r w:rsidR="001C3CBD" w:rsidRPr="00EF5D0A">
        <w:rPr>
          <w:i/>
          <w:lang w:val="hr-HR"/>
        </w:rPr>
        <w:t xml:space="preserve"> </w:t>
      </w:r>
      <w:r w:rsidR="005540B9">
        <w:rPr>
          <w:i/>
          <w:lang w:val="hr-HR"/>
        </w:rPr>
        <w:t>i</w:t>
      </w:r>
      <w:r w:rsidR="001C3CBD" w:rsidRPr="00EF5D0A">
        <w:rPr>
          <w:i/>
          <w:lang w:val="hr-HR"/>
        </w:rPr>
        <w:t>nstrument</w:t>
      </w:r>
      <w:r w:rsidR="005540B9">
        <w:rPr>
          <w:i/>
          <w:lang w:val="hr-HR"/>
        </w:rPr>
        <w:t>i</w:t>
      </w:r>
      <w:r w:rsidR="001C3CBD" w:rsidRPr="00EF5D0A">
        <w:rPr>
          <w:i/>
          <w:lang w:val="hr-HR"/>
        </w:rPr>
        <w:t xml:space="preserve">: </w:t>
      </w:r>
      <w:r w:rsidR="005540B9">
        <w:rPr>
          <w:i/>
          <w:lang w:val="hr-HR"/>
        </w:rPr>
        <w:t>Objavljivanja</w:t>
      </w:r>
      <w:r w:rsidR="001C3CBD" w:rsidRPr="00EF5D0A">
        <w:rPr>
          <w:lang w:val="hr-HR"/>
        </w:rPr>
        <w:t xml:space="preserve">. </w:t>
      </w:r>
      <w:r w:rsidR="00FC6ED0">
        <w:rPr>
          <w:lang w:val="hr-HR"/>
        </w:rPr>
        <w:t xml:space="preserve">Te izmjene i dopune su proistekle iz zahtjeva Odbora za tumačenja IFRS standarda (u daljem tekstu: Odbora), koji je tražio pojašnjenje na koji način subjekti trebaju primijeniti tačku 2.4 MSFI-ja 9 (koja se neformalno naziva „izuzeće za vlastite potrebe“) na ugovore o kupovini i prihvatanju isporuka električne energije iz </w:t>
      </w:r>
      <w:r w:rsidR="00B339A5">
        <w:rPr>
          <w:lang w:val="hr-HR"/>
        </w:rPr>
        <w:t xml:space="preserve">izvora zavisnih od </w:t>
      </w:r>
      <w:r w:rsidR="00FC6ED0">
        <w:rPr>
          <w:lang w:val="hr-HR"/>
        </w:rPr>
        <w:t xml:space="preserve">prirodnih </w:t>
      </w:r>
      <w:r w:rsidR="00B339A5">
        <w:rPr>
          <w:lang w:val="hr-HR"/>
        </w:rPr>
        <w:t>uslova</w:t>
      </w:r>
      <w:r w:rsidR="00FC6ED0">
        <w:rPr>
          <w:lang w:val="hr-HR"/>
        </w:rPr>
        <w:t>. Dionici su obavijestili Odbor da s</w:t>
      </w:r>
      <w:r w:rsidR="00B339A5">
        <w:rPr>
          <w:lang w:val="hr-HR"/>
        </w:rPr>
        <w:t>e dešavalo da</w:t>
      </w:r>
      <w:r w:rsidR="00FC6ED0">
        <w:rPr>
          <w:lang w:val="hr-HR"/>
        </w:rPr>
        <w:t xml:space="preserve">, primjenjujući zahtjeve MSFI-ja 9 na tu vrstu ugovora, korisnicima financijskih ugovora (investitorima) </w:t>
      </w:r>
      <w:r w:rsidR="00B339A5">
        <w:rPr>
          <w:lang w:val="hr-HR"/>
        </w:rPr>
        <w:t>pruže</w:t>
      </w:r>
      <w:r w:rsidR="00FC6ED0">
        <w:rPr>
          <w:lang w:val="hr-HR"/>
        </w:rPr>
        <w:t xml:space="preserve"> manje korisne informacije. Oni su također navodili da je potrebno čim prije iznaći odgovarajuće rješenje jer se očekuje da se </w:t>
      </w:r>
      <w:r w:rsidR="00B339A5">
        <w:rPr>
          <w:lang w:val="hr-HR"/>
        </w:rPr>
        <w:t xml:space="preserve">predmetni </w:t>
      </w:r>
      <w:r w:rsidR="00FC6ED0">
        <w:rPr>
          <w:lang w:val="hr-HR"/>
        </w:rPr>
        <w:t>ugovori sve če</w:t>
      </w:r>
      <w:r w:rsidR="00B339A5">
        <w:rPr>
          <w:lang w:val="hr-HR"/>
        </w:rPr>
        <w:t>š</w:t>
      </w:r>
      <w:r w:rsidR="00FC6ED0">
        <w:rPr>
          <w:lang w:val="hr-HR"/>
        </w:rPr>
        <w:t xml:space="preserve">će koriste zbog povećane potražnje za električnom energijom iz obnovljivih izvora. S obzirom da se radi o pitanju koje je već široko zastupljeno i za koje se očekuje da će značajno uticati na one koji su obuhvaćeni njime, Odbor ga je uputio </w:t>
      </w:r>
      <w:r w:rsidR="00FC6ED0" w:rsidRPr="00FC6ED0">
        <w:rPr>
          <w:i/>
          <w:iCs/>
          <w:lang w:val="hr-HR"/>
        </w:rPr>
        <w:t>IASB</w:t>
      </w:r>
      <w:r w:rsidR="00FC6ED0">
        <w:rPr>
          <w:lang w:val="hr-HR"/>
        </w:rPr>
        <w:t xml:space="preserve">-u na dalje postupanje. </w:t>
      </w:r>
    </w:p>
    <w:p w14:paraId="7297A3F9" w14:textId="404B7B9D" w:rsidR="00014FB0" w:rsidRPr="00EF5D0A" w:rsidRDefault="00A92D4A">
      <w:pPr>
        <w:pStyle w:val="IASBNormalnpara"/>
        <w:rPr>
          <w:lang w:val="hr-HR"/>
        </w:rPr>
      </w:pPr>
      <w:r>
        <w:rPr>
          <w:lang w:val="hr-HR"/>
        </w:rPr>
        <w:t>OZ</w:t>
      </w:r>
      <w:r w:rsidR="001C3CBD" w:rsidRPr="00EF5D0A">
        <w:rPr>
          <w:lang w:val="hr-HR"/>
        </w:rPr>
        <w:t>2.17B</w:t>
      </w:r>
      <w:r w:rsidR="001C3CBD" w:rsidRPr="00EF5D0A">
        <w:rPr>
          <w:lang w:val="hr-HR"/>
        </w:rPr>
        <w:tab/>
      </w:r>
      <w:r w:rsidR="001C3CBD" w:rsidRPr="00FC6ED0">
        <w:rPr>
          <w:i/>
          <w:iCs/>
          <w:lang w:val="hr-HR"/>
        </w:rPr>
        <w:t>IASB</w:t>
      </w:r>
      <w:r w:rsidR="001C3CBD" w:rsidRPr="00EF5D0A">
        <w:rPr>
          <w:lang w:val="hr-HR"/>
        </w:rPr>
        <w:t xml:space="preserve"> </w:t>
      </w:r>
      <w:r w:rsidR="00FC6ED0">
        <w:rPr>
          <w:lang w:val="hr-HR"/>
        </w:rPr>
        <w:t>se odlučio izmijeniti MSFI 9 kako bi omogućili subjektima da u svoje finansijske izvještaje uvrštavaju informacije koje vjern</w:t>
      </w:r>
      <w:r w:rsidR="00B133AA">
        <w:rPr>
          <w:lang w:val="hr-HR"/>
        </w:rPr>
        <w:t>ije</w:t>
      </w:r>
      <w:r w:rsidR="00FC6ED0">
        <w:rPr>
          <w:lang w:val="hr-HR"/>
        </w:rPr>
        <w:t xml:space="preserve"> prikazuju ugovore </w:t>
      </w:r>
      <w:r w:rsidR="00B339A5">
        <w:rPr>
          <w:lang w:val="hr-HR"/>
        </w:rPr>
        <w:t>o</w:t>
      </w:r>
      <w:r w:rsidR="00FC6ED0">
        <w:rPr>
          <w:lang w:val="hr-HR"/>
        </w:rPr>
        <w:t xml:space="preserve"> električn</w:t>
      </w:r>
      <w:r w:rsidR="00B339A5">
        <w:rPr>
          <w:lang w:val="hr-HR"/>
        </w:rPr>
        <w:t>oj</w:t>
      </w:r>
      <w:r w:rsidR="00FC6ED0">
        <w:rPr>
          <w:lang w:val="hr-HR"/>
        </w:rPr>
        <w:t xml:space="preserve"> energij</w:t>
      </w:r>
      <w:r w:rsidR="00B339A5">
        <w:rPr>
          <w:lang w:val="hr-HR"/>
        </w:rPr>
        <w:t>i</w:t>
      </w:r>
      <w:r w:rsidR="00FC6ED0">
        <w:rPr>
          <w:lang w:val="hr-HR"/>
        </w:rPr>
        <w:t xml:space="preserve"> iz </w:t>
      </w:r>
      <w:r w:rsidR="00B339A5">
        <w:rPr>
          <w:lang w:val="hr-HR"/>
        </w:rPr>
        <w:t xml:space="preserve">izvora zavisnih od </w:t>
      </w:r>
      <w:r w:rsidR="00FC6ED0">
        <w:rPr>
          <w:lang w:val="hr-HR"/>
        </w:rPr>
        <w:t xml:space="preserve">prirodnih </w:t>
      </w:r>
      <w:r w:rsidR="00B339A5">
        <w:rPr>
          <w:lang w:val="hr-HR"/>
        </w:rPr>
        <w:t>uslova</w:t>
      </w:r>
      <w:r w:rsidR="00FC6ED0">
        <w:rPr>
          <w:lang w:val="hr-HR"/>
        </w:rPr>
        <w:t xml:space="preserve">. Oni su odlučili </w:t>
      </w:r>
      <w:r w:rsidR="00B133AA">
        <w:rPr>
          <w:lang w:val="hr-HR"/>
        </w:rPr>
        <w:t xml:space="preserve">i to </w:t>
      </w:r>
      <w:r w:rsidR="00FC6ED0">
        <w:rPr>
          <w:lang w:val="hr-HR"/>
        </w:rPr>
        <w:t xml:space="preserve">da izmijene MSFI 7 </w:t>
      </w:r>
      <w:r w:rsidR="0058214A">
        <w:rPr>
          <w:lang w:val="hr-HR"/>
        </w:rPr>
        <w:t xml:space="preserve">kako bi </w:t>
      </w:r>
      <w:r w:rsidR="00B133AA">
        <w:rPr>
          <w:lang w:val="hr-HR"/>
        </w:rPr>
        <w:t xml:space="preserve">u njega </w:t>
      </w:r>
      <w:r w:rsidR="0058214A">
        <w:rPr>
          <w:lang w:val="hr-HR"/>
        </w:rPr>
        <w:t>uvrsti</w:t>
      </w:r>
      <w:r w:rsidR="00B133AA">
        <w:rPr>
          <w:lang w:val="hr-HR"/>
        </w:rPr>
        <w:t>li</w:t>
      </w:r>
      <w:r w:rsidR="0058214A">
        <w:rPr>
          <w:lang w:val="hr-HR"/>
        </w:rPr>
        <w:t xml:space="preserve"> </w:t>
      </w:r>
      <w:r w:rsidR="00B133AA">
        <w:rPr>
          <w:lang w:val="hr-HR"/>
        </w:rPr>
        <w:t xml:space="preserve">pripadajuće </w:t>
      </w:r>
      <w:r w:rsidR="0058214A">
        <w:rPr>
          <w:lang w:val="hr-HR"/>
        </w:rPr>
        <w:t xml:space="preserve">zahtjeve u pogledu objavljivanja. Sa svim tim izmjenama i dopunama, nastojali su </w:t>
      </w:r>
      <w:r w:rsidR="00B133AA">
        <w:rPr>
          <w:lang w:val="hr-HR"/>
        </w:rPr>
        <w:t>uspostaviti</w:t>
      </w:r>
      <w:r w:rsidR="0058214A">
        <w:rPr>
          <w:lang w:val="hr-HR"/>
        </w:rPr>
        <w:t xml:space="preserve"> ravnotežu između potrebe za pravovremenim rješenjem i značaja svođenja na najmanju moguću mjeru rizika neželjenih posljedica koje bi svi takvi amandmani mogli imati na način kako subjekti primjenjuju MSFI 9 na druge ugovore. </w:t>
      </w:r>
      <w:r w:rsidR="001C3CBD" w:rsidRPr="00EF5D0A">
        <w:rPr>
          <w:lang w:val="hr-HR"/>
        </w:rPr>
        <w:t xml:space="preserve"> </w:t>
      </w:r>
      <w:r w:rsidR="0058214A" w:rsidRPr="001B2F1A">
        <w:rPr>
          <w:i/>
          <w:iCs/>
          <w:lang w:val="hr-HR"/>
        </w:rPr>
        <w:t>IASB</w:t>
      </w:r>
      <w:r w:rsidR="0058214A">
        <w:rPr>
          <w:lang w:val="hr-HR"/>
        </w:rPr>
        <w:t>-u je, dakle, bilo bitno da osiguraju da subjekti ne smiju</w:t>
      </w:r>
      <w:r w:rsidR="00B133AA">
        <w:rPr>
          <w:lang w:val="hr-HR"/>
        </w:rPr>
        <w:t>,</w:t>
      </w:r>
      <w:r w:rsidR="0058214A">
        <w:rPr>
          <w:lang w:val="hr-HR"/>
        </w:rPr>
        <w:t xml:space="preserve"> analogijom</w:t>
      </w:r>
      <w:r w:rsidR="00B133AA">
        <w:rPr>
          <w:lang w:val="hr-HR"/>
        </w:rPr>
        <w:t>,</w:t>
      </w:r>
      <w:r w:rsidR="0058214A">
        <w:rPr>
          <w:lang w:val="hr-HR"/>
        </w:rPr>
        <w:t xml:space="preserve"> primjenjivati da</w:t>
      </w:r>
      <w:r w:rsidR="00B133AA">
        <w:rPr>
          <w:lang w:val="hr-HR"/>
        </w:rPr>
        <w:t>t</w:t>
      </w:r>
      <w:r w:rsidR="0058214A">
        <w:rPr>
          <w:lang w:val="hr-HR"/>
        </w:rPr>
        <w:t xml:space="preserve">e izmjene i dopune na druge vrste ugovora, stavki ili transakcija. </w:t>
      </w:r>
    </w:p>
    <w:p w14:paraId="3E7A7334" w14:textId="4B4EDB0A" w:rsidR="00014FB0" w:rsidRPr="00EF5D0A" w:rsidRDefault="0058214A">
      <w:pPr>
        <w:pStyle w:val="IASBSectionTitle3Ind"/>
        <w:rPr>
          <w:lang w:val="hr-HR"/>
        </w:rPr>
      </w:pPr>
      <w:bookmarkStart w:id="35" w:name="unique_97"/>
      <w:r>
        <w:rPr>
          <w:lang w:val="hr-HR"/>
        </w:rPr>
        <w:t xml:space="preserve">Troškovi i koristi </w:t>
      </w:r>
      <w:bookmarkEnd w:id="35"/>
    </w:p>
    <w:p w14:paraId="7AA27385" w14:textId="485D8521" w:rsidR="00014FB0" w:rsidRPr="00EF5D0A" w:rsidRDefault="00A92D4A">
      <w:pPr>
        <w:pStyle w:val="IASBNormalnpara"/>
        <w:rPr>
          <w:lang w:val="hr-HR"/>
        </w:rPr>
      </w:pPr>
      <w:r>
        <w:rPr>
          <w:lang w:val="hr-HR"/>
        </w:rPr>
        <w:t>OZ</w:t>
      </w:r>
      <w:r w:rsidR="001C3CBD" w:rsidRPr="00EF5D0A">
        <w:rPr>
          <w:lang w:val="hr-HR"/>
        </w:rPr>
        <w:t>2.17C</w:t>
      </w:r>
      <w:r w:rsidR="001C3CBD" w:rsidRPr="00EF5D0A">
        <w:rPr>
          <w:lang w:val="hr-HR"/>
        </w:rPr>
        <w:tab/>
      </w:r>
      <w:r w:rsidR="001C3CBD" w:rsidRPr="003E0C89">
        <w:rPr>
          <w:i/>
          <w:iCs/>
          <w:lang w:val="hr-HR"/>
        </w:rPr>
        <w:t>IASB</w:t>
      </w:r>
      <w:r w:rsidR="001C3CBD" w:rsidRPr="00EF5D0A">
        <w:rPr>
          <w:lang w:val="hr-HR"/>
        </w:rPr>
        <w:t xml:space="preserve"> </w:t>
      </w:r>
      <w:r w:rsidR="003E0C89">
        <w:rPr>
          <w:lang w:val="hr-HR"/>
        </w:rPr>
        <w:t xml:space="preserve">je zaključio </w:t>
      </w:r>
      <w:r w:rsidR="00B133AA">
        <w:rPr>
          <w:lang w:val="hr-HR"/>
        </w:rPr>
        <w:t xml:space="preserve">da </w:t>
      </w:r>
      <w:r w:rsidR="00873329">
        <w:rPr>
          <w:lang w:val="hr-HR"/>
        </w:rPr>
        <w:t>će koristi izmjen</w:t>
      </w:r>
      <w:r w:rsidR="000C0B7E">
        <w:rPr>
          <w:lang w:val="hr-HR"/>
        </w:rPr>
        <w:t>a</w:t>
      </w:r>
      <w:r w:rsidR="00873329">
        <w:rPr>
          <w:lang w:val="hr-HR"/>
        </w:rPr>
        <w:t xml:space="preserve"> i dopuna MSFI-ja 9 biti veće od njihovih troškova. Prepoznali su da bi u početku primjena tih izmjena i dopuna mogla nametnuti dodatne troškove subjektima, ali se očekuje da će kasniji redovni </w:t>
      </w:r>
      <w:r w:rsidR="000C0B7E">
        <w:rPr>
          <w:lang w:val="hr-HR"/>
        </w:rPr>
        <w:t>izdaci</w:t>
      </w:r>
      <w:r w:rsidR="00873329">
        <w:rPr>
          <w:lang w:val="hr-HR"/>
        </w:rPr>
        <w:t xml:space="preserve"> </w:t>
      </w:r>
      <w:r w:rsidR="000C0B7E">
        <w:rPr>
          <w:lang w:val="hr-HR"/>
        </w:rPr>
        <w:t xml:space="preserve">njihove </w:t>
      </w:r>
      <w:r w:rsidR="00873329">
        <w:rPr>
          <w:lang w:val="hr-HR"/>
        </w:rPr>
        <w:t xml:space="preserve">primjene u smislu izuzeća za vlastite potrebe ili zahtjeva povezanih sa računovodstvom zaštite od rizika biti manji od koristi koje će im to donjeti. </w:t>
      </w:r>
    </w:p>
    <w:p w14:paraId="4536A928" w14:textId="2C9A603B" w:rsidR="00014FB0" w:rsidRPr="00EF5D0A" w:rsidRDefault="0058214A">
      <w:pPr>
        <w:pStyle w:val="IASBSectionTitle3Ind"/>
        <w:rPr>
          <w:lang w:val="hr-HR"/>
        </w:rPr>
      </w:pPr>
      <w:bookmarkStart w:id="36" w:name="unique_98"/>
      <w:r>
        <w:rPr>
          <w:lang w:val="hr-HR"/>
        </w:rPr>
        <w:t xml:space="preserve">Djelokrug izmjena i dopuna </w:t>
      </w:r>
      <w:r w:rsidR="001C3CBD" w:rsidRPr="00EF5D0A">
        <w:rPr>
          <w:lang w:val="hr-HR"/>
        </w:rPr>
        <w:t>(</w:t>
      </w:r>
      <w:r>
        <w:rPr>
          <w:lang w:val="hr-HR"/>
        </w:rPr>
        <w:t xml:space="preserve">tačke </w:t>
      </w:r>
      <w:r w:rsidR="001C3CBD" w:rsidRPr="00EF5D0A">
        <w:rPr>
          <w:lang w:val="hr-HR"/>
        </w:rPr>
        <w:t>2.3</w:t>
      </w:r>
      <w:r w:rsidR="000C0B7E">
        <w:rPr>
          <w:lang w:val="hr-HR"/>
        </w:rPr>
        <w:t>.</w:t>
      </w:r>
      <w:r w:rsidR="001C3CBD" w:rsidRPr="00EF5D0A">
        <w:rPr>
          <w:lang w:val="hr-HR"/>
        </w:rPr>
        <w:t>A</w:t>
      </w:r>
      <w:r>
        <w:rPr>
          <w:lang w:val="hr-HR"/>
        </w:rPr>
        <w:t xml:space="preserve"> i </w:t>
      </w:r>
      <w:r w:rsidR="001C3CBD" w:rsidRPr="00EF5D0A">
        <w:rPr>
          <w:lang w:val="hr-HR"/>
        </w:rPr>
        <w:t>2.3</w:t>
      </w:r>
      <w:r w:rsidR="000C0B7E">
        <w:rPr>
          <w:lang w:val="hr-HR"/>
        </w:rPr>
        <w:t>.</w:t>
      </w:r>
      <w:r w:rsidR="001C3CBD" w:rsidRPr="00EF5D0A">
        <w:rPr>
          <w:lang w:val="hr-HR"/>
        </w:rPr>
        <w:t>B)</w:t>
      </w:r>
      <w:bookmarkEnd w:id="36"/>
    </w:p>
    <w:p w14:paraId="5D04367A" w14:textId="2E9E0E98" w:rsidR="00014FB0" w:rsidRPr="00EF5D0A" w:rsidRDefault="00A92D4A" w:rsidP="003727BB">
      <w:pPr>
        <w:pStyle w:val="IASBNormalnpara"/>
        <w:spacing w:before="90"/>
        <w:rPr>
          <w:lang w:val="hr-HR"/>
        </w:rPr>
      </w:pPr>
      <w:r>
        <w:rPr>
          <w:lang w:val="hr-HR"/>
        </w:rPr>
        <w:t>OZ</w:t>
      </w:r>
      <w:r w:rsidR="001C3CBD" w:rsidRPr="00EF5D0A">
        <w:rPr>
          <w:lang w:val="hr-HR"/>
        </w:rPr>
        <w:t>2.17D</w:t>
      </w:r>
      <w:r w:rsidR="001C3CBD" w:rsidRPr="00EF5D0A">
        <w:rPr>
          <w:lang w:val="hr-HR"/>
        </w:rPr>
        <w:tab/>
      </w:r>
      <w:r w:rsidR="003D6C5C">
        <w:rPr>
          <w:lang w:val="hr-HR"/>
        </w:rPr>
        <w:t xml:space="preserve">Ugovore </w:t>
      </w:r>
      <w:r w:rsidR="00242034">
        <w:rPr>
          <w:lang w:val="hr-HR"/>
        </w:rPr>
        <w:t xml:space="preserve">o </w:t>
      </w:r>
      <w:r w:rsidR="003D6C5C">
        <w:rPr>
          <w:lang w:val="hr-HR"/>
        </w:rPr>
        <w:t>električn</w:t>
      </w:r>
      <w:r w:rsidR="00242034">
        <w:rPr>
          <w:lang w:val="hr-HR"/>
        </w:rPr>
        <w:t>oj</w:t>
      </w:r>
      <w:r w:rsidR="003D6C5C">
        <w:rPr>
          <w:lang w:val="hr-HR"/>
        </w:rPr>
        <w:t xml:space="preserve"> energij</w:t>
      </w:r>
      <w:r w:rsidR="00242034">
        <w:rPr>
          <w:lang w:val="hr-HR"/>
        </w:rPr>
        <w:t>i</w:t>
      </w:r>
      <w:r w:rsidR="003D6C5C">
        <w:rPr>
          <w:lang w:val="hr-HR"/>
        </w:rPr>
        <w:t xml:space="preserve"> iz </w:t>
      </w:r>
      <w:r w:rsidR="00242034">
        <w:rPr>
          <w:lang w:val="hr-HR"/>
        </w:rPr>
        <w:t xml:space="preserve">izvora zavisnih od </w:t>
      </w:r>
      <w:r w:rsidR="003D6C5C">
        <w:rPr>
          <w:lang w:val="hr-HR"/>
        </w:rPr>
        <w:t xml:space="preserve">prirodnih </w:t>
      </w:r>
      <w:r w:rsidR="00242034">
        <w:rPr>
          <w:lang w:val="hr-HR"/>
        </w:rPr>
        <w:t>uslova</w:t>
      </w:r>
      <w:r w:rsidR="003D6C5C">
        <w:rPr>
          <w:lang w:val="hr-HR"/>
        </w:rPr>
        <w:t xml:space="preserve"> karakteri</w:t>
      </w:r>
      <w:r w:rsidR="004C756A">
        <w:rPr>
          <w:lang w:val="hr-HR"/>
        </w:rPr>
        <w:t xml:space="preserve">šu </w:t>
      </w:r>
      <w:r w:rsidR="003D6C5C">
        <w:rPr>
          <w:lang w:val="hr-HR"/>
        </w:rPr>
        <w:t xml:space="preserve">obilježja koja subjekte izlažu promjenjivosti predmetnih </w:t>
      </w:r>
      <w:r w:rsidR="00954FC1">
        <w:rPr>
          <w:lang w:val="hr-HR"/>
        </w:rPr>
        <w:t>vrijednosti</w:t>
      </w:r>
      <w:r w:rsidR="003D6C5C">
        <w:rPr>
          <w:lang w:val="hr-HR"/>
        </w:rPr>
        <w:t xml:space="preserve"> električne energije jer ona dolazi iz izvora koji su zavisni od dešavanja u prirodi koj</w:t>
      </w:r>
      <w:r w:rsidR="00954FC1">
        <w:rPr>
          <w:lang w:val="hr-HR"/>
        </w:rPr>
        <w:t>a</w:t>
      </w:r>
      <w:r w:rsidR="003D6C5C">
        <w:rPr>
          <w:lang w:val="hr-HR"/>
        </w:rPr>
        <w:t xml:space="preserve"> nije moguće kontroli</w:t>
      </w:r>
      <w:r w:rsidR="00954FC1">
        <w:rPr>
          <w:lang w:val="hr-HR"/>
        </w:rPr>
        <w:t>s</w:t>
      </w:r>
      <w:r w:rsidR="003D6C5C">
        <w:rPr>
          <w:lang w:val="hr-HR"/>
        </w:rPr>
        <w:t xml:space="preserve">ati. Ta promjenjivost se u pravilu povezuje s obnovljivim izvorima električne energije poput sunca i vjetra. Primjera radi, </w:t>
      </w:r>
      <w:r w:rsidR="00E6452B">
        <w:rPr>
          <w:lang w:val="hr-HR"/>
        </w:rPr>
        <w:t>proizvodnja solarne energije varira zavisno od promjene prirod</w:t>
      </w:r>
      <w:r w:rsidR="00954FC1">
        <w:rPr>
          <w:lang w:val="hr-HR"/>
        </w:rPr>
        <w:t xml:space="preserve">nih uslova, kao što je vrijeme </w:t>
      </w:r>
      <w:r w:rsidR="00E6452B">
        <w:rPr>
          <w:lang w:val="hr-HR"/>
        </w:rPr>
        <w:t>tokom kojeg je dostupno dnevno svjetlo</w:t>
      </w:r>
      <w:r w:rsidR="00954FC1">
        <w:rPr>
          <w:lang w:val="hr-HR"/>
        </w:rPr>
        <w:t>,</w:t>
      </w:r>
      <w:r w:rsidR="00E6452B">
        <w:rPr>
          <w:lang w:val="hr-HR"/>
        </w:rPr>
        <w:t xml:space="preserve"> i vremenskih </w:t>
      </w:r>
      <w:r w:rsidR="00954FC1">
        <w:rPr>
          <w:lang w:val="hr-HR"/>
        </w:rPr>
        <w:t>prilika,</w:t>
      </w:r>
      <w:r w:rsidR="00E6452B">
        <w:rPr>
          <w:lang w:val="hr-HR"/>
        </w:rPr>
        <w:t xml:space="preserve"> kao što je stepen oblačnosti. </w:t>
      </w:r>
      <w:r w:rsidR="001C3CBD" w:rsidRPr="00E6452B">
        <w:rPr>
          <w:i/>
          <w:iCs/>
          <w:lang w:val="hr-HR"/>
        </w:rPr>
        <w:t>IASB</w:t>
      </w:r>
      <w:r w:rsidR="001C3CBD" w:rsidRPr="00EF5D0A">
        <w:rPr>
          <w:lang w:val="hr-HR"/>
        </w:rPr>
        <w:t xml:space="preserve"> </w:t>
      </w:r>
      <w:r w:rsidR="00D3746F">
        <w:rPr>
          <w:lang w:val="hr-HR"/>
        </w:rPr>
        <w:t xml:space="preserve">se odlučio da djelokrug </w:t>
      </w:r>
      <w:r w:rsidR="00954FC1">
        <w:rPr>
          <w:lang w:val="hr-HR"/>
        </w:rPr>
        <w:t xml:space="preserve">izmjena i dopuna </w:t>
      </w:r>
      <w:r w:rsidR="00D3746F">
        <w:rPr>
          <w:lang w:val="hr-HR"/>
        </w:rPr>
        <w:t xml:space="preserve">ograniči na ugovore </w:t>
      </w:r>
      <w:r w:rsidR="00954FC1">
        <w:rPr>
          <w:lang w:val="hr-HR"/>
        </w:rPr>
        <w:t xml:space="preserve">o </w:t>
      </w:r>
      <w:r w:rsidR="00D3746F">
        <w:rPr>
          <w:lang w:val="hr-HR"/>
        </w:rPr>
        <w:t>električn</w:t>
      </w:r>
      <w:r w:rsidR="00954FC1">
        <w:rPr>
          <w:lang w:val="hr-HR"/>
        </w:rPr>
        <w:t>oj</w:t>
      </w:r>
      <w:r w:rsidR="00D3746F">
        <w:rPr>
          <w:lang w:val="hr-HR"/>
        </w:rPr>
        <w:t xml:space="preserve"> energij</w:t>
      </w:r>
      <w:r w:rsidR="00954FC1">
        <w:rPr>
          <w:lang w:val="hr-HR"/>
        </w:rPr>
        <w:t>i</w:t>
      </w:r>
      <w:r w:rsidR="00D3746F">
        <w:rPr>
          <w:lang w:val="hr-HR"/>
        </w:rPr>
        <w:t xml:space="preserve"> iz </w:t>
      </w:r>
      <w:r w:rsidR="00954FC1">
        <w:rPr>
          <w:lang w:val="hr-HR"/>
        </w:rPr>
        <w:t xml:space="preserve">izvora zavisnih od </w:t>
      </w:r>
      <w:r w:rsidR="00D3746F">
        <w:rPr>
          <w:lang w:val="hr-HR"/>
        </w:rPr>
        <w:t xml:space="preserve">prirodnih </w:t>
      </w:r>
      <w:r w:rsidR="00954FC1">
        <w:rPr>
          <w:lang w:val="hr-HR"/>
        </w:rPr>
        <w:t>uslova</w:t>
      </w:r>
      <w:r w:rsidR="00D3746F">
        <w:rPr>
          <w:lang w:val="hr-HR"/>
        </w:rPr>
        <w:t xml:space="preserve"> jer </w:t>
      </w:r>
      <w:r w:rsidR="00954FC1">
        <w:rPr>
          <w:lang w:val="hr-HR"/>
        </w:rPr>
        <w:t>time</w:t>
      </w:r>
      <w:r w:rsidR="00D3746F">
        <w:rPr>
          <w:lang w:val="hr-HR"/>
        </w:rPr>
        <w:t xml:space="preserve"> ispunjava cilj da iznađe pravovremeno rješenje a, pri tome, rizik neželjenih posljedica svede na najmanju moguću mjeru. </w:t>
      </w:r>
    </w:p>
    <w:p w14:paraId="05AAC316" w14:textId="07A707F8" w:rsidR="00014FB0" w:rsidRPr="00EF5D0A" w:rsidRDefault="00A92D4A" w:rsidP="003727BB">
      <w:pPr>
        <w:pStyle w:val="IASBNormalnpara"/>
        <w:tabs>
          <w:tab w:val="left" w:pos="4395"/>
        </w:tabs>
        <w:spacing w:before="90"/>
        <w:rPr>
          <w:lang w:val="hr-HR"/>
        </w:rPr>
      </w:pPr>
      <w:r>
        <w:rPr>
          <w:lang w:val="hr-HR"/>
        </w:rPr>
        <w:t>OZ</w:t>
      </w:r>
      <w:r w:rsidR="001C3CBD" w:rsidRPr="00EF5D0A">
        <w:rPr>
          <w:lang w:val="hr-HR"/>
        </w:rPr>
        <w:t>2.17E</w:t>
      </w:r>
      <w:r w:rsidR="001C3CBD" w:rsidRPr="00EF5D0A">
        <w:rPr>
          <w:lang w:val="hr-HR"/>
        </w:rPr>
        <w:tab/>
      </w:r>
      <w:r w:rsidR="002A7E45">
        <w:rPr>
          <w:lang w:val="hr-HR"/>
        </w:rPr>
        <w:t xml:space="preserve">Podnosilac zahtjeva se </w:t>
      </w:r>
      <w:r w:rsidR="007847B3">
        <w:rPr>
          <w:lang w:val="hr-HR"/>
        </w:rPr>
        <w:t xml:space="preserve">konkretno </w:t>
      </w:r>
      <w:r w:rsidR="002A7E45">
        <w:rPr>
          <w:lang w:val="hr-HR"/>
        </w:rPr>
        <w:t>raspitivao o ugovorima o kupovini i primanju isporuka električne energije iz izvora</w:t>
      </w:r>
      <w:r w:rsidR="007847B3">
        <w:rPr>
          <w:lang w:val="hr-HR"/>
        </w:rPr>
        <w:t xml:space="preserve"> zavisnih od prirodnih uslova,</w:t>
      </w:r>
      <w:r w:rsidR="002A7E45">
        <w:rPr>
          <w:lang w:val="hr-HR"/>
        </w:rPr>
        <w:t xml:space="preserve"> ali su dionici </w:t>
      </w:r>
      <w:r w:rsidR="00DD6F10">
        <w:rPr>
          <w:lang w:val="hr-HR"/>
        </w:rPr>
        <w:t xml:space="preserve">smatrali da, ako bi razmatrali da odrede standard uskog djelokruga svedenog na primjenu izuzeća za vlastite potrebe subjekata na predmetnu vrstu ugovora, </w:t>
      </w:r>
      <w:r w:rsidR="00DD6F10" w:rsidRPr="00DD6F10">
        <w:rPr>
          <w:i/>
          <w:iCs/>
          <w:lang w:val="hr-HR"/>
        </w:rPr>
        <w:t>IASB</w:t>
      </w:r>
      <w:r w:rsidR="00DD6F10">
        <w:rPr>
          <w:lang w:val="hr-HR"/>
        </w:rPr>
        <w:t xml:space="preserve"> treba razmotriti i to na koji način će subjekti primjenjivati zahtjeve računovodstva zašite od rizika na ugovore </w:t>
      </w:r>
      <w:r w:rsidR="007847B3">
        <w:rPr>
          <w:lang w:val="hr-HR"/>
        </w:rPr>
        <w:t xml:space="preserve">o </w:t>
      </w:r>
      <w:r w:rsidR="00DD6F10">
        <w:rPr>
          <w:lang w:val="hr-HR"/>
        </w:rPr>
        <w:t>električn</w:t>
      </w:r>
      <w:r w:rsidR="007847B3">
        <w:rPr>
          <w:lang w:val="hr-HR"/>
        </w:rPr>
        <w:t>oj</w:t>
      </w:r>
      <w:r w:rsidR="00DD6F10">
        <w:rPr>
          <w:lang w:val="hr-HR"/>
        </w:rPr>
        <w:t xml:space="preserve"> energij</w:t>
      </w:r>
      <w:r w:rsidR="007847B3">
        <w:rPr>
          <w:lang w:val="hr-HR"/>
        </w:rPr>
        <w:t>i</w:t>
      </w:r>
      <w:r w:rsidR="00DD6F10">
        <w:rPr>
          <w:lang w:val="hr-HR"/>
        </w:rPr>
        <w:t xml:space="preserve"> iz </w:t>
      </w:r>
      <w:r w:rsidR="007847B3">
        <w:rPr>
          <w:lang w:val="hr-HR"/>
        </w:rPr>
        <w:t xml:space="preserve">izvora zavisnih od </w:t>
      </w:r>
      <w:r w:rsidR="00DD6F10">
        <w:rPr>
          <w:lang w:val="hr-HR"/>
        </w:rPr>
        <w:t xml:space="preserve">prirodnih </w:t>
      </w:r>
      <w:r w:rsidR="007847B3">
        <w:rPr>
          <w:lang w:val="hr-HR"/>
        </w:rPr>
        <w:t>uslova</w:t>
      </w:r>
      <w:r w:rsidR="00DD6F10">
        <w:rPr>
          <w:lang w:val="hr-HR"/>
        </w:rPr>
        <w:t xml:space="preserve"> koji se obračunavaju kao finansijski instrumenti</w:t>
      </w:r>
      <w:r w:rsidR="001C3CBD" w:rsidRPr="00EF5D0A">
        <w:rPr>
          <w:lang w:val="hr-HR"/>
        </w:rPr>
        <w:t xml:space="preserve">. </w:t>
      </w:r>
      <w:r w:rsidR="00DD6F10">
        <w:rPr>
          <w:lang w:val="hr-HR"/>
        </w:rPr>
        <w:t xml:space="preserve">Dionici su naveli i to da su ekonomske posljedice ove vrste ugovora </w:t>
      </w:r>
      <w:r w:rsidR="00AD7704">
        <w:rPr>
          <w:lang w:val="hr-HR"/>
        </w:rPr>
        <w:t xml:space="preserve">o </w:t>
      </w:r>
      <w:r w:rsidR="00DD6F10">
        <w:rPr>
          <w:lang w:val="hr-HR"/>
        </w:rPr>
        <w:t>električn</w:t>
      </w:r>
      <w:r w:rsidR="00AD7704">
        <w:rPr>
          <w:lang w:val="hr-HR"/>
        </w:rPr>
        <w:t>oj</w:t>
      </w:r>
      <w:r w:rsidR="00DD6F10">
        <w:rPr>
          <w:lang w:val="hr-HR"/>
        </w:rPr>
        <w:t xml:space="preserve"> energij</w:t>
      </w:r>
      <w:r w:rsidR="00AD7704">
        <w:rPr>
          <w:lang w:val="hr-HR"/>
        </w:rPr>
        <w:t xml:space="preserve">i </w:t>
      </w:r>
      <w:r w:rsidR="00DD6F10">
        <w:rPr>
          <w:lang w:val="hr-HR"/>
        </w:rPr>
        <w:t xml:space="preserve">iz </w:t>
      </w:r>
      <w:r w:rsidR="00AD7704">
        <w:rPr>
          <w:lang w:val="hr-HR"/>
        </w:rPr>
        <w:t xml:space="preserve">izvora zavisnih </w:t>
      </w:r>
      <w:r w:rsidR="00AD7704">
        <w:rPr>
          <w:lang w:val="hr-HR"/>
        </w:rPr>
        <w:lastRenderedPageBreak/>
        <w:t xml:space="preserve">od </w:t>
      </w:r>
      <w:r w:rsidR="00DD6F10">
        <w:rPr>
          <w:lang w:val="hr-HR"/>
        </w:rPr>
        <w:t xml:space="preserve">prirodnih </w:t>
      </w:r>
      <w:r w:rsidR="00AD7704">
        <w:rPr>
          <w:lang w:val="hr-HR"/>
        </w:rPr>
        <w:t>uslova</w:t>
      </w:r>
      <w:r w:rsidR="00DD6F10">
        <w:rPr>
          <w:lang w:val="hr-HR"/>
        </w:rPr>
        <w:t xml:space="preserve"> sličn</w:t>
      </w:r>
      <w:r w:rsidR="00AD7704">
        <w:rPr>
          <w:lang w:val="hr-HR"/>
        </w:rPr>
        <w:t>e</w:t>
      </w:r>
      <w:r w:rsidR="00DD6F10">
        <w:rPr>
          <w:lang w:val="hr-HR"/>
        </w:rPr>
        <w:t xml:space="preserve"> ekonomskim posljedicama ugovora koji se tiču vlastitih potreba subjekata. Objasnili su da, u velikom broju slučajeva, to kako je osmišljeno i kako funkcioniše neko tržište električnom energijom određuje vrste ugovora koje subjekti mogu sklopiti. Zbog tih faktora, </w:t>
      </w:r>
      <w:r w:rsidR="00DD6F10" w:rsidRPr="00DD6F10">
        <w:rPr>
          <w:i/>
          <w:iCs/>
          <w:lang w:val="hr-HR"/>
        </w:rPr>
        <w:t>IASB</w:t>
      </w:r>
      <w:r w:rsidR="00DD6F10">
        <w:rPr>
          <w:lang w:val="hr-HR"/>
        </w:rPr>
        <w:t xml:space="preserve"> se odlučio u djelokrug da</w:t>
      </w:r>
      <w:r w:rsidR="00AD7704">
        <w:rPr>
          <w:lang w:val="hr-HR"/>
        </w:rPr>
        <w:t>t</w:t>
      </w:r>
      <w:r w:rsidR="00DD6F10">
        <w:rPr>
          <w:lang w:val="hr-HR"/>
        </w:rPr>
        <w:t>ih izmjena i dopuna uvrstiti i ugovore o kupo</w:t>
      </w:r>
      <w:r w:rsidR="00AD7704">
        <w:rPr>
          <w:lang w:val="hr-HR"/>
        </w:rPr>
        <w:t>prodaji</w:t>
      </w:r>
      <w:r w:rsidR="00DD6F10">
        <w:rPr>
          <w:lang w:val="hr-HR"/>
        </w:rPr>
        <w:t xml:space="preserve"> električne energije iz </w:t>
      </w:r>
      <w:r w:rsidR="00AD7704">
        <w:rPr>
          <w:lang w:val="hr-HR"/>
        </w:rPr>
        <w:t xml:space="preserve">izvora zavisnih od </w:t>
      </w:r>
      <w:r w:rsidR="00DD6F10">
        <w:rPr>
          <w:lang w:val="hr-HR"/>
        </w:rPr>
        <w:t xml:space="preserve">prirodnih </w:t>
      </w:r>
      <w:r w:rsidR="00AD7704">
        <w:rPr>
          <w:lang w:val="hr-HR"/>
        </w:rPr>
        <w:t>uslov</w:t>
      </w:r>
      <w:r w:rsidR="00DD6F10">
        <w:rPr>
          <w:lang w:val="hr-HR"/>
        </w:rPr>
        <w:t xml:space="preserve">a i finansijske instrumente u kojima se pominje taj vid električne energije. </w:t>
      </w:r>
    </w:p>
    <w:p w14:paraId="030AD187" w14:textId="7C70C502" w:rsidR="00014FB0" w:rsidRPr="00EF5D0A" w:rsidRDefault="00A92D4A">
      <w:pPr>
        <w:pStyle w:val="IASBNormalnpara"/>
        <w:rPr>
          <w:lang w:val="hr-HR"/>
        </w:rPr>
      </w:pPr>
      <w:r>
        <w:rPr>
          <w:lang w:val="hr-HR"/>
        </w:rPr>
        <w:t>OZ</w:t>
      </w:r>
      <w:r w:rsidR="001C3CBD" w:rsidRPr="00EF5D0A">
        <w:rPr>
          <w:lang w:val="hr-HR"/>
        </w:rPr>
        <w:t>2.17F</w:t>
      </w:r>
      <w:r w:rsidR="001C3CBD" w:rsidRPr="00EF5D0A">
        <w:rPr>
          <w:lang w:val="hr-HR"/>
        </w:rPr>
        <w:tab/>
      </w:r>
      <w:r w:rsidR="00DF65E9">
        <w:rPr>
          <w:lang w:val="hr-HR"/>
        </w:rPr>
        <w:t xml:space="preserve">Ugovori </w:t>
      </w:r>
      <w:r w:rsidR="00594A21">
        <w:rPr>
          <w:lang w:val="hr-HR"/>
        </w:rPr>
        <w:t xml:space="preserve">o </w:t>
      </w:r>
      <w:r w:rsidR="00DF65E9">
        <w:rPr>
          <w:lang w:val="hr-HR"/>
        </w:rPr>
        <w:t>električn</w:t>
      </w:r>
      <w:r w:rsidR="00594A21">
        <w:rPr>
          <w:lang w:val="hr-HR"/>
        </w:rPr>
        <w:t>oj</w:t>
      </w:r>
      <w:r w:rsidR="00DF65E9">
        <w:rPr>
          <w:lang w:val="hr-HR"/>
        </w:rPr>
        <w:t xml:space="preserve"> energij</w:t>
      </w:r>
      <w:r w:rsidR="00594A21">
        <w:rPr>
          <w:lang w:val="hr-HR"/>
        </w:rPr>
        <w:t>i</w:t>
      </w:r>
      <w:r w:rsidR="00DF65E9">
        <w:rPr>
          <w:lang w:val="hr-HR"/>
        </w:rPr>
        <w:t xml:space="preserve"> iz izvora zavisnih od prirodnih uslova</w:t>
      </w:r>
      <w:r w:rsidR="002D7814">
        <w:rPr>
          <w:lang w:val="hr-HR"/>
        </w:rPr>
        <w:t xml:space="preserve"> </w:t>
      </w:r>
      <w:r w:rsidR="00FC6DD1">
        <w:rPr>
          <w:lang w:val="hr-HR"/>
        </w:rPr>
        <w:t xml:space="preserve">bi se mogli </w:t>
      </w:r>
      <w:r w:rsidR="002D7814">
        <w:rPr>
          <w:lang w:val="hr-HR"/>
        </w:rPr>
        <w:t xml:space="preserve">obračunavati u skladu s </w:t>
      </w:r>
      <w:r w:rsidR="005A6568">
        <w:rPr>
          <w:lang w:val="hr-HR"/>
        </w:rPr>
        <w:t xml:space="preserve">drugim </w:t>
      </w:r>
      <w:r w:rsidR="002D7814">
        <w:rPr>
          <w:lang w:val="hr-HR"/>
        </w:rPr>
        <w:t xml:space="preserve">IFRS računovodstvenim standardima </w:t>
      </w:r>
      <w:r w:rsidR="005A6568">
        <w:rPr>
          <w:lang w:val="hr-HR"/>
        </w:rPr>
        <w:t xml:space="preserve">osim </w:t>
      </w:r>
      <w:r w:rsidR="002D7814">
        <w:rPr>
          <w:lang w:val="hr-HR"/>
        </w:rPr>
        <w:t>MSFI</w:t>
      </w:r>
      <w:r w:rsidR="005A6568">
        <w:rPr>
          <w:lang w:val="hr-HR"/>
        </w:rPr>
        <w:t>-</w:t>
      </w:r>
      <w:r w:rsidR="005F5CE7">
        <w:rPr>
          <w:lang w:val="hr-HR"/>
        </w:rPr>
        <w:t>j</w:t>
      </w:r>
      <w:r w:rsidR="005A6568">
        <w:rPr>
          <w:lang w:val="hr-HR"/>
        </w:rPr>
        <w:t>a</w:t>
      </w:r>
      <w:r w:rsidR="002D7814">
        <w:rPr>
          <w:lang w:val="hr-HR"/>
        </w:rPr>
        <w:t xml:space="preserve"> 9 ili voditi primjeni drugih standarda, kao što su MSFI</w:t>
      </w:r>
      <w:r w:rsidR="001C3CBD" w:rsidRPr="00EF5D0A">
        <w:rPr>
          <w:lang w:val="hr-HR"/>
        </w:rPr>
        <w:t xml:space="preserve"> 10 </w:t>
      </w:r>
      <w:r w:rsidR="002D7814">
        <w:rPr>
          <w:i/>
          <w:lang w:val="hr-HR"/>
        </w:rPr>
        <w:t xml:space="preserve">Konsolidovani finansijski </w:t>
      </w:r>
      <w:r w:rsidR="00520DD1">
        <w:rPr>
          <w:i/>
          <w:lang w:val="hr-HR"/>
        </w:rPr>
        <w:t>izvještaji</w:t>
      </w:r>
      <w:r w:rsidR="001C3CBD" w:rsidRPr="00EF5D0A">
        <w:rPr>
          <w:lang w:val="hr-HR"/>
        </w:rPr>
        <w:t xml:space="preserve">, </w:t>
      </w:r>
      <w:r w:rsidR="00933E60">
        <w:rPr>
          <w:lang w:val="hr-HR"/>
        </w:rPr>
        <w:t>MSFI</w:t>
      </w:r>
      <w:r w:rsidR="001C3CBD" w:rsidRPr="00EF5D0A">
        <w:rPr>
          <w:lang w:val="hr-HR"/>
        </w:rPr>
        <w:t xml:space="preserve"> 11 </w:t>
      </w:r>
      <w:r w:rsidR="00933E60">
        <w:rPr>
          <w:i/>
          <w:lang w:val="hr-HR"/>
        </w:rPr>
        <w:t>Zajednički aranžmani</w:t>
      </w:r>
      <w:r w:rsidR="001C3CBD" w:rsidRPr="00EF5D0A">
        <w:rPr>
          <w:lang w:val="hr-HR"/>
        </w:rPr>
        <w:t xml:space="preserve">, </w:t>
      </w:r>
      <w:r w:rsidR="00933E60">
        <w:rPr>
          <w:lang w:val="hr-HR"/>
        </w:rPr>
        <w:t>MSFI</w:t>
      </w:r>
      <w:r w:rsidR="001C3CBD" w:rsidRPr="00EF5D0A">
        <w:rPr>
          <w:lang w:val="hr-HR"/>
        </w:rPr>
        <w:t xml:space="preserve"> 16 </w:t>
      </w:r>
      <w:r w:rsidR="00933E60">
        <w:rPr>
          <w:i/>
          <w:lang w:val="hr-HR"/>
        </w:rPr>
        <w:t>Najmovi</w:t>
      </w:r>
      <w:r w:rsidR="001C3CBD" w:rsidRPr="00EF5D0A">
        <w:rPr>
          <w:lang w:val="hr-HR"/>
        </w:rPr>
        <w:t xml:space="preserve">, </w:t>
      </w:r>
      <w:r w:rsidR="00933E60">
        <w:rPr>
          <w:lang w:val="hr-HR"/>
        </w:rPr>
        <w:t>MRS</w:t>
      </w:r>
      <w:r w:rsidR="001C3CBD" w:rsidRPr="00EF5D0A">
        <w:rPr>
          <w:lang w:val="hr-HR"/>
        </w:rPr>
        <w:t xml:space="preserve"> 28 </w:t>
      </w:r>
      <w:r w:rsidR="00933E60">
        <w:rPr>
          <w:i/>
          <w:lang w:val="hr-HR"/>
        </w:rPr>
        <w:t xml:space="preserve">Ulaganja u </w:t>
      </w:r>
      <w:r w:rsidR="00E50C78">
        <w:rPr>
          <w:i/>
          <w:lang w:val="hr-HR"/>
        </w:rPr>
        <w:t>pridružene subjekte i zajedničke poduhvate</w:t>
      </w:r>
      <w:r w:rsidR="001C3CBD" w:rsidRPr="00EF5D0A">
        <w:rPr>
          <w:lang w:val="hr-HR"/>
        </w:rPr>
        <w:t xml:space="preserve"> </w:t>
      </w:r>
      <w:r w:rsidR="00E50C78">
        <w:rPr>
          <w:lang w:val="hr-HR"/>
        </w:rPr>
        <w:t xml:space="preserve">ili tumačenje </w:t>
      </w:r>
      <w:r w:rsidR="00E50C78" w:rsidRPr="00E50C78">
        <w:rPr>
          <w:i/>
          <w:iCs/>
          <w:lang w:val="hr-HR"/>
        </w:rPr>
        <w:t>I</w:t>
      </w:r>
      <w:r w:rsidR="001C3CBD" w:rsidRPr="00E50C78">
        <w:rPr>
          <w:i/>
          <w:iCs/>
          <w:lang w:val="hr-HR"/>
        </w:rPr>
        <w:t>FRIC</w:t>
      </w:r>
      <w:r w:rsidR="00E50C78">
        <w:rPr>
          <w:lang w:val="hr-HR"/>
        </w:rPr>
        <w:t>-a</w:t>
      </w:r>
      <w:r w:rsidR="001C3CBD" w:rsidRPr="00EF5D0A">
        <w:rPr>
          <w:lang w:val="hr-HR"/>
        </w:rPr>
        <w:t xml:space="preserve"> </w:t>
      </w:r>
      <w:r w:rsidR="00E50C78">
        <w:rPr>
          <w:lang w:val="hr-HR"/>
        </w:rPr>
        <w:t xml:space="preserve">br. </w:t>
      </w:r>
      <w:r w:rsidR="001C3CBD" w:rsidRPr="00EF5D0A">
        <w:rPr>
          <w:lang w:val="hr-HR"/>
        </w:rPr>
        <w:t xml:space="preserve">12 </w:t>
      </w:r>
      <w:r w:rsidR="00E50C78">
        <w:rPr>
          <w:i/>
          <w:lang w:val="hr-HR"/>
        </w:rPr>
        <w:t>Sporazumi o koncesijama za usluge</w:t>
      </w:r>
      <w:r w:rsidR="001C3CBD" w:rsidRPr="00EF5D0A">
        <w:rPr>
          <w:lang w:val="hr-HR"/>
        </w:rPr>
        <w:t xml:space="preserve">. </w:t>
      </w:r>
      <w:r w:rsidR="00520DD1">
        <w:rPr>
          <w:lang w:val="hr-HR"/>
        </w:rPr>
        <w:t>Ipak, kako d</w:t>
      </w:r>
      <w:r w:rsidR="00E50C78">
        <w:rPr>
          <w:lang w:val="hr-HR"/>
        </w:rPr>
        <w:t xml:space="preserve">ionici nisu izrazili </w:t>
      </w:r>
      <w:r w:rsidR="00834FC1">
        <w:rPr>
          <w:lang w:val="hr-HR"/>
        </w:rPr>
        <w:t xml:space="preserve">zabrinutost u odnosu na ugovore </w:t>
      </w:r>
      <w:r w:rsidR="00520DD1">
        <w:rPr>
          <w:lang w:val="hr-HR"/>
        </w:rPr>
        <w:t>o</w:t>
      </w:r>
      <w:r w:rsidR="00834FC1">
        <w:rPr>
          <w:lang w:val="hr-HR"/>
        </w:rPr>
        <w:t xml:space="preserve"> električn</w:t>
      </w:r>
      <w:r w:rsidR="00520DD1">
        <w:rPr>
          <w:lang w:val="hr-HR"/>
        </w:rPr>
        <w:t>oj</w:t>
      </w:r>
      <w:r w:rsidR="00834FC1">
        <w:rPr>
          <w:lang w:val="hr-HR"/>
        </w:rPr>
        <w:t xml:space="preserve"> energij</w:t>
      </w:r>
      <w:r w:rsidR="00520DD1">
        <w:rPr>
          <w:lang w:val="hr-HR"/>
        </w:rPr>
        <w:t>i</w:t>
      </w:r>
      <w:r w:rsidR="00834FC1">
        <w:rPr>
          <w:lang w:val="hr-HR"/>
        </w:rPr>
        <w:t xml:space="preserve"> iz </w:t>
      </w:r>
      <w:r w:rsidR="00520DD1">
        <w:rPr>
          <w:lang w:val="hr-HR"/>
        </w:rPr>
        <w:t xml:space="preserve">izvora zavisnih od </w:t>
      </w:r>
      <w:r w:rsidR="00834FC1">
        <w:rPr>
          <w:lang w:val="hr-HR"/>
        </w:rPr>
        <w:t xml:space="preserve">prirodnih </w:t>
      </w:r>
      <w:r w:rsidR="00520DD1">
        <w:rPr>
          <w:lang w:val="hr-HR"/>
        </w:rPr>
        <w:t>uslova koje subjekti</w:t>
      </w:r>
      <w:r w:rsidR="00834FC1">
        <w:rPr>
          <w:lang w:val="hr-HR"/>
        </w:rPr>
        <w:t xml:space="preserve"> obračunavaju prema drugim IFRS računovodstvenim standardima</w:t>
      </w:r>
      <w:r w:rsidR="00520DD1">
        <w:rPr>
          <w:lang w:val="hr-HR"/>
        </w:rPr>
        <w:t xml:space="preserve">, </w:t>
      </w:r>
      <w:r w:rsidR="001C3CBD" w:rsidRPr="00834FC1">
        <w:rPr>
          <w:i/>
          <w:iCs/>
          <w:lang w:val="hr-HR"/>
        </w:rPr>
        <w:t>IASB</w:t>
      </w:r>
      <w:r w:rsidR="00834FC1">
        <w:rPr>
          <w:lang w:val="hr-HR"/>
        </w:rPr>
        <w:t xml:space="preserve"> </w:t>
      </w:r>
      <w:r w:rsidR="00520DD1">
        <w:rPr>
          <w:lang w:val="hr-HR"/>
        </w:rPr>
        <w:t>je o</w:t>
      </w:r>
      <w:r w:rsidR="00834FC1">
        <w:rPr>
          <w:lang w:val="hr-HR"/>
        </w:rPr>
        <w:t xml:space="preserve">dlučio ograničiti </w:t>
      </w:r>
      <w:r w:rsidR="00520DD1">
        <w:rPr>
          <w:lang w:val="hr-HR"/>
        </w:rPr>
        <w:t xml:space="preserve">izmjene i dopune </w:t>
      </w:r>
      <w:r w:rsidR="00834FC1">
        <w:rPr>
          <w:lang w:val="hr-HR"/>
        </w:rPr>
        <w:t>samo na ugovore na koje se odnose zahtjevi MSFI-ja 9</w:t>
      </w:r>
      <w:r w:rsidR="001C3CBD" w:rsidRPr="00EF5D0A">
        <w:rPr>
          <w:lang w:val="hr-HR"/>
        </w:rPr>
        <w:t>.</w:t>
      </w:r>
    </w:p>
    <w:p w14:paraId="5114D3CD" w14:textId="705A0AC2" w:rsidR="00014FB0" w:rsidRPr="00EF5D0A" w:rsidRDefault="00A92D4A">
      <w:pPr>
        <w:pStyle w:val="IASBNormalnpara"/>
        <w:rPr>
          <w:lang w:val="hr-HR"/>
        </w:rPr>
      </w:pPr>
      <w:r>
        <w:rPr>
          <w:lang w:val="hr-HR"/>
        </w:rPr>
        <w:t>OZ</w:t>
      </w:r>
      <w:r w:rsidR="001C3CBD" w:rsidRPr="00EF5D0A">
        <w:rPr>
          <w:lang w:val="hr-HR"/>
        </w:rPr>
        <w:t>2.17G</w:t>
      </w:r>
      <w:r w:rsidR="001C3CBD" w:rsidRPr="00EF5D0A">
        <w:rPr>
          <w:lang w:val="hr-HR"/>
        </w:rPr>
        <w:tab/>
      </w:r>
      <w:r w:rsidR="001C3CBD" w:rsidRPr="00834FC1">
        <w:rPr>
          <w:i/>
          <w:iCs/>
          <w:lang w:val="hr-HR"/>
        </w:rPr>
        <w:t>IASB</w:t>
      </w:r>
      <w:r w:rsidR="001C3CBD" w:rsidRPr="00EF5D0A">
        <w:rPr>
          <w:lang w:val="hr-HR"/>
        </w:rPr>
        <w:t xml:space="preserve"> </w:t>
      </w:r>
      <w:r w:rsidR="00834FC1">
        <w:rPr>
          <w:lang w:val="hr-HR"/>
        </w:rPr>
        <w:t xml:space="preserve">je razmatrao i to da li izmjenama i dopunama obuhvatiti druge vrste ugovora </w:t>
      </w:r>
      <w:r w:rsidR="00520DD1">
        <w:rPr>
          <w:lang w:val="hr-HR"/>
        </w:rPr>
        <w:t xml:space="preserve">o </w:t>
      </w:r>
      <w:r w:rsidR="00834FC1">
        <w:rPr>
          <w:lang w:val="hr-HR"/>
        </w:rPr>
        <w:t>električn</w:t>
      </w:r>
      <w:r w:rsidR="00520DD1">
        <w:rPr>
          <w:lang w:val="hr-HR"/>
        </w:rPr>
        <w:t>oj</w:t>
      </w:r>
      <w:r w:rsidR="00834FC1">
        <w:rPr>
          <w:lang w:val="hr-HR"/>
        </w:rPr>
        <w:t xml:space="preserve"> energij</w:t>
      </w:r>
      <w:r w:rsidR="00520DD1">
        <w:rPr>
          <w:lang w:val="hr-HR"/>
        </w:rPr>
        <w:t>i, međutim, d</w:t>
      </w:r>
      <w:r w:rsidR="00834FC1">
        <w:rPr>
          <w:lang w:val="hr-HR"/>
        </w:rPr>
        <w:t xml:space="preserve">ionici nisu izrazili </w:t>
      </w:r>
      <w:r w:rsidR="00520DD1">
        <w:rPr>
          <w:lang w:val="hr-HR"/>
        </w:rPr>
        <w:t xml:space="preserve">jednaku </w:t>
      </w:r>
      <w:r w:rsidR="00834FC1">
        <w:rPr>
          <w:lang w:val="hr-HR"/>
        </w:rPr>
        <w:t xml:space="preserve">zabrinutost </w:t>
      </w:r>
      <w:r w:rsidR="00520DD1">
        <w:rPr>
          <w:lang w:val="hr-HR"/>
        </w:rPr>
        <w:t>u odnosu na druge vrste u</w:t>
      </w:r>
      <w:r w:rsidR="00834FC1">
        <w:rPr>
          <w:lang w:val="hr-HR"/>
        </w:rPr>
        <w:t>govora k</w:t>
      </w:r>
      <w:r w:rsidR="00520DD1">
        <w:rPr>
          <w:lang w:val="hr-HR"/>
        </w:rPr>
        <w:t>ao za ugovore koji</w:t>
      </w:r>
      <w:r w:rsidR="00834FC1">
        <w:rPr>
          <w:lang w:val="hr-HR"/>
        </w:rPr>
        <w:t xml:space="preserve"> imaju karakteristike iz tačke </w:t>
      </w:r>
      <w:r w:rsidR="001C3CBD" w:rsidRPr="00EF5D0A">
        <w:rPr>
          <w:lang w:val="hr-HR"/>
        </w:rPr>
        <w:t>2.3</w:t>
      </w:r>
      <w:r w:rsidR="00520DD1">
        <w:rPr>
          <w:lang w:val="hr-HR"/>
        </w:rPr>
        <w:t>.</w:t>
      </w:r>
      <w:r w:rsidR="001C3CBD" w:rsidRPr="00EF5D0A">
        <w:rPr>
          <w:lang w:val="hr-HR"/>
        </w:rPr>
        <w:t xml:space="preserve">A. </w:t>
      </w:r>
      <w:r w:rsidR="00BA5390">
        <w:rPr>
          <w:lang w:val="hr-HR"/>
        </w:rPr>
        <w:t>Tako, primjera radi</w:t>
      </w:r>
      <w:r w:rsidR="00834FC1">
        <w:rPr>
          <w:lang w:val="hr-HR"/>
        </w:rPr>
        <w:t xml:space="preserve">, </w:t>
      </w:r>
      <w:r w:rsidR="005B487A">
        <w:rPr>
          <w:lang w:val="hr-HR"/>
        </w:rPr>
        <w:t xml:space="preserve">nije bila namjera </w:t>
      </w:r>
      <w:r w:rsidR="001C3CBD" w:rsidRPr="00834FC1">
        <w:rPr>
          <w:i/>
          <w:iCs/>
          <w:lang w:val="hr-HR"/>
        </w:rPr>
        <w:t>IASB</w:t>
      </w:r>
      <w:r w:rsidR="005B487A">
        <w:rPr>
          <w:lang w:val="hr-HR"/>
        </w:rPr>
        <w:t>-a da</w:t>
      </w:r>
      <w:r w:rsidR="00834FC1">
        <w:rPr>
          <w:lang w:val="hr-HR"/>
        </w:rPr>
        <w:t xml:space="preserve"> u </w:t>
      </w:r>
      <w:r w:rsidR="001F6F40">
        <w:rPr>
          <w:lang w:val="hr-HR"/>
        </w:rPr>
        <w:t>izmjene i dopune</w:t>
      </w:r>
      <w:r w:rsidR="00834FC1">
        <w:rPr>
          <w:lang w:val="hr-HR"/>
        </w:rPr>
        <w:t xml:space="preserve"> uključi</w:t>
      </w:r>
      <w:r w:rsidR="005B487A">
        <w:rPr>
          <w:lang w:val="hr-HR"/>
        </w:rPr>
        <w:t xml:space="preserve"> </w:t>
      </w:r>
      <w:r w:rsidR="00834FC1">
        <w:rPr>
          <w:lang w:val="hr-HR"/>
        </w:rPr>
        <w:t xml:space="preserve">ugovore o električnoj energiji </w:t>
      </w:r>
      <w:r w:rsidR="005B487A">
        <w:rPr>
          <w:lang w:val="hr-HR"/>
        </w:rPr>
        <w:t>iz biogoriva</w:t>
      </w:r>
      <w:r w:rsidR="00834FC1">
        <w:rPr>
          <w:lang w:val="hr-HR"/>
        </w:rPr>
        <w:t xml:space="preserve"> jer u tom slučaju proizvodnja električne energije nije izložena istoj neizvjesnosti kao kod ugovora koji na kraju jesu obuhvaćeni njihovim djelokrugom. Dionici su naveli da elektrane </w:t>
      </w:r>
      <w:r w:rsidR="005B487A">
        <w:rPr>
          <w:lang w:val="hr-HR"/>
        </w:rPr>
        <w:t xml:space="preserve">na biogoriva mogu </w:t>
      </w:r>
      <w:r w:rsidR="00834FC1">
        <w:rPr>
          <w:lang w:val="hr-HR"/>
        </w:rPr>
        <w:t xml:space="preserve">funkcionisati slično kao i tradicionalne </w:t>
      </w:r>
      <w:r w:rsidR="005B487A">
        <w:rPr>
          <w:lang w:val="hr-HR"/>
        </w:rPr>
        <w:t>ele</w:t>
      </w:r>
      <w:r w:rsidR="00834FC1">
        <w:rPr>
          <w:lang w:val="hr-HR"/>
        </w:rPr>
        <w:t>ktrane na fosilna goriva jer je izvor energije moguće kontrolisati. Biogoriva, koja dolaze iz organskih tvari, poput biomas</w:t>
      </w:r>
      <w:r w:rsidR="005B487A">
        <w:rPr>
          <w:lang w:val="hr-HR"/>
        </w:rPr>
        <w:t>a</w:t>
      </w:r>
      <w:r w:rsidR="00834FC1">
        <w:rPr>
          <w:lang w:val="hr-HR"/>
        </w:rPr>
        <w:t xml:space="preserve">, otpada životinjskog porijekla i otpada koji je moguće reciklirati, se mogu pohraniti do korištenja za proizvodnju električne energije. Ta svojstva dozvoljavaju elektranama na biogoriva da električnu energiju proizvode po potrebi, za razliku od, primjera radi, vjetroelektrana koje zavise od prirodnih uslova koje nije moguće kontrolisati. </w:t>
      </w:r>
    </w:p>
    <w:p w14:paraId="104FAE5C" w14:textId="77777777" w:rsidR="00C74DF5" w:rsidRPr="00C74DF5" w:rsidRDefault="00C74DF5" w:rsidP="00C74DF5">
      <w:pPr>
        <w:pStyle w:val="IASBSectionTitle4Ind"/>
        <w:spacing w:before="0" w:after="0"/>
        <w:rPr>
          <w:sz w:val="10"/>
          <w:szCs w:val="10"/>
          <w:lang w:val="hr-HR"/>
        </w:rPr>
      </w:pPr>
      <w:bookmarkStart w:id="37" w:name="unique_106"/>
    </w:p>
    <w:p w14:paraId="270E3C50" w14:textId="78BD46BD" w:rsidR="00014FB0" w:rsidRPr="00EF5D0A" w:rsidRDefault="00DD6F10" w:rsidP="00C74DF5">
      <w:pPr>
        <w:pStyle w:val="IASBSectionTitle4Ind"/>
        <w:spacing w:before="80"/>
        <w:rPr>
          <w:lang w:val="hr-HR"/>
        </w:rPr>
      </w:pPr>
      <w:r>
        <w:rPr>
          <w:lang w:val="hr-HR"/>
        </w:rPr>
        <w:t>Obračunska jedinica</w:t>
      </w:r>
      <w:r w:rsidR="001C3CBD" w:rsidRPr="00EF5D0A">
        <w:rPr>
          <w:lang w:val="hr-HR"/>
        </w:rPr>
        <w:t xml:space="preserve"> </w:t>
      </w:r>
      <w:bookmarkEnd w:id="37"/>
    </w:p>
    <w:p w14:paraId="682C9590" w14:textId="44CC4DDF" w:rsidR="00014FB0" w:rsidRPr="00EF5D0A" w:rsidRDefault="00A92D4A" w:rsidP="00C74DF5">
      <w:pPr>
        <w:pStyle w:val="IASBNormalnpara"/>
        <w:spacing w:before="80"/>
        <w:rPr>
          <w:lang w:val="hr-HR"/>
        </w:rPr>
      </w:pPr>
      <w:r>
        <w:rPr>
          <w:lang w:val="hr-HR"/>
        </w:rPr>
        <w:t>OZ</w:t>
      </w:r>
      <w:r w:rsidR="001C3CBD" w:rsidRPr="00EF5D0A">
        <w:rPr>
          <w:lang w:val="hr-HR"/>
        </w:rPr>
        <w:t>2.17H</w:t>
      </w:r>
      <w:r w:rsidR="001C3CBD" w:rsidRPr="00EF5D0A">
        <w:rPr>
          <w:lang w:val="hr-HR"/>
        </w:rPr>
        <w:tab/>
      </w:r>
      <w:r w:rsidR="0029709C">
        <w:rPr>
          <w:lang w:val="hr-HR"/>
        </w:rPr>
        <w:t>Pojedini</w:t>
      </w:r>
      <w:r w:rsidR="00F04D46">
        <w:rPr>
          <w:lang w:val="hr-HR"/>
        </w:rPr>
        <w:t xml:space="preserve"> dionici su naveli da, u njihovim jurisdikcijama, subjekt</w:t>
      </w:r>
      <w:r w:rsidR="00831A97">
        <w:rPr>
          <w:lang w:val="hr-HR"/>
        </w:rPr>
        <w:t>i</w:t>
      </w:r>
      <w:r w:rsidR="00F04D46">
        <w:rPr>
          <w:lang w:val="hr-HR"/>
        </w:rPr>
        <w:t xml:space="preserve"> ne mogu direktno pristupiti tržištu električnom energijom već moraju koristiti posrednike</w:t>
      </w:r>
      <w:r w:rsidR="001C3CBD" w:rsidRPr="00EF5D0A">
        <w:rPr>
          <w:lang w:val="hr-HR"/>
        </w:rPr>
        <w:t xml:space="preserve">. </w:t>
      </w:r>
      <w:r w:rsidR="00F04D46">
        <w:rPr>
          <w:lang w:val="hr-HR"/>
        </w:rPr>
        <w:t xml:space="preserve">U takvim jurisdikcijama, subjekti moraju sklapati ugovore o pružanju </w:t>
      </w:r>
      <w:r w:rsidR="00831A97">
        <w:rPr>
          <w:lang w:val="hr-HR"/>
        </w:rPr>
        <w:t xml:space="preserve">pomoćnih </w:t>
      </w:r>
      <w:r w:rsidR="00F04D46">
        <w:rPr>
          <w:lang w:val="hr-HR"/>
        </w:rPr>
        <w:t xml:space="preserve">usluga. </w:t>
      </w:r>
      <w:r w:rsidR="00831A97">
        <w:rPr>
          <w:lang w:val="hr-HR"/>
        </w:rPr>
        <w:t>D</w:t>
      </w:r>
      <w:r w:rsidR="00F04D46">
        <w:rPr>
          <w:lang w:val="hr-HR"/>
        </w:rPr>
        <w:t xml:space="preserve">ionici su pojasnili da se takvi ugovori sklapaju i o njima pregovara nezavisno od ugovora </w:t>
      </w:r>
      <w:r w:rsidR="00831A97">
        <w:rPr>
          <w:lang w:val="hr-HR"/>
        </w:rPr>
        <w:t>o</w:t>
      </w:r>
      <w:r w:rsidR="00F04D46">
        <w:rPr>
          <w:lang w:val="hr-HR"/>
        </w:rPr>
        <w:t xml:space="preserve"> električn</w:t>
      </w:r>
      <w:r w:rsidR="00831A97">
        <w:rPr>
          <w:lang w:val="hr-HR"/>
        </w:rPr>
        <w:t>oj</w:t>
      </w:r>
      <w:r w:rsidR="00F04D46">
        <w:rPr>
          <w:lang w:val="hr-HR"/>
        </w:rPr>
        <w:t xml:space="preserve"> energij</w:t>
      </w:r>
      <w:r w:rsidR="00831A97">
        <w:rPr>
          <w:lang w:val="hr-HR"/>
        </w:rPr>
        <w:t>i</w:t>
      </w:r>
      <w:r w:rsidR="00F04D46">
        <w:rPr>
          <w:lang w:val="hr-HR"/>
        </w:rPr>
        <w:t xml:space="preserve"> iz </w:t>
      </w:r>
      <w:r w:rsidR="00831A97">
        <w:rPr>
          <w:lang w:val="hr-HR"/>
        </w:rPr>
        <w:t xml:space="preserve">izvora zavisnih od </w:t>
      </w:r>
      <w:r w:rsidR="00F04D46">
        <w:rPr>
          <w:lang w:val="hr-HR"/>
        </w:rPr>
        <w:t xml:space="preserve">prirodnih </w:t>
      </w:r>
      <w:r w:rsidR="00831A97">
        <w:rPr>
          <w:lang w:val="hr-HR"/>
        </w:rPr>
        <w:t>uslova</w:t>
      </w:r>
      <w:r w:rsidR="00F04D46">
        <w:rPr>
          <w:lang w:val="hr-HR"/>
        </w:rPr>
        <w:t xml:space="preserve">. Njima nije najjasnije kako da </w:t>
      </w:r>
      <w:r w:rsidR="00831A97">
        <w:rPr>
          <w:lang w:val="hr-HR"/>
        </w:rPr>
        <w:t>odrede</w:t>
      </w:r>
      <w:r w:rsidR="00F04D46">
        <w:rPr>
          <w:lang w:val="hr-HR"/>
        </w:rPr>
        <w:t xml:space="preserve"> obračunsku jedinicu na tržištu koje je osmišljeno na takav način da podrazumijeva više od jednog ugovora sa više od jedne strane. </w:t>
      </w:r>
      <w:r w:rsidR="001C3CBD" w:rsidRPr="00F04D46">
        <w:rPr>
          <w:i/>
          <w:iCs/>
          <w:lang w:val="hr-HR"/>
        </w:rPr>
        <w:t>IASB</w:t>
      </w:r>
      <w:r w:rsidR="001C3CBD" w:rsidRPr="00EF5D0A">
        <w:rPr>
          <w:lang w:val="hr-HR"/>
        </w:rPr>
        <w:t xml:space="preserve"> </w:t>
      </w:r>
      <w:r w:rsidR="00831A97">
        <w:rPr>
          <w:lang w:val="hr-HR"/>
        </w:rPr>
        <w:t xml:space="preserve">uviđa </w:t>
      </w:r>
      <w:r w:rsidR="00C61DD4">
        <w:rPr>
          <w:lang w:val="hr-HR"/>
        </w:rPr>
        <w:t xml:space="preserve">da </w:t>
      </w:r>
      <w:r w:rsidR="00831A97">
        <w:rPr>
          <w:lang w:val="hr-HR"/>
        </w:rPr>
        <w:t>bi</w:t>
      </w:r>
      <w:r w:rsidR="00C61DD4">
        <w:rPr>
          <w:lang w:val="hr-HR"/>
        </w:rPr>
        <w:t xml:space="preserve"> subjektima u tim jurisdikcijama </w:t>
      </w:r>
      <w:r w:rsidR="00831A97">
        <w:rPr>
          <w:lang w:val="hr-HR"/>
        </w:rPr>
        <w:t xml:space="preserve">moglo biti </w:t>
      </w:r>
      <w:r w:rsidR="00C61DD4">
        <w:rPr>
          <w:lang w:val="hr-HR"/>
        </w:rPr>
        <w:t>teško odrediti obračunsku jedinicu. Za razliku od drugih IFRS računovodstvenih standarda, MSFI</w:t>
      </w:r>
      <w:r w:rsidR="001C3CBD" w:rsidRPr="00EF5D0A">
        <w:rPr>
          <w:lang w:val="hr-HR"/>
        </w:rPr>
        <w:t xml:space="preserve"> 9 </w:t>
      </w:r>
      <w:r w:rsidR="00C61DD4">
        <w:rPr>
          <w:lang w:val="hr-HR"/>
        </w:rPr>
        <w:t xml:space="preserve">ne sadrži zahtjeve za takvu kombinaciju ugovora. </w:t>
      </w:r>
      <w:r w:rsidR="001C3CBD" w:rsidRPr="00C61DD4">
        <w:rPr>
          <w:i/>
          <w:iCs/>
          <w:lang w:val="hr-HR"/>
        </w:rPr>
        <w:t>IASB</w:t>
      </w:r>
      <w:r w:rsidR="001C3CBD" w:rsidRPr="00EF5D0A">
        <w:rPr>
          <w:lang w:val="hr-HR"/>
        </w:rPr>
        <w:t xml:space="preserve"> </w:t>
      </w:r>
      <w:r w:rsidR="00C61DD4">
        <w:rPr>
          <w:lang w:val="hr-HR"/>
        </w:rPr>
        <w:t xml:space="preserve">je ipak zaključio da ne može osmisliti zahtjeve za određivanje </w:t>
      </w:r>
      <w:r w:rsidR="002420C1">
        <w:rPr>
          <w:lang w:val="hr-HR"/>
        </w:rPr>
        <w:t xml:space="preserve">obračunske </w:t>
      </w:r>
      <w:r w:rsidR="00C61DD4">
        <w:rPr>
          <w:lang w:val="hr-HR"/>
        </w:rPr>
        <w:t xml:space="preserve">jedinice </w:t>
      </w:r>
      <w:r w:rsidR="002420C1">
        <w:rPr>
          <w:lang w:val="hr-HR"/>
        </w:rPr>
        <w:t xml:space="preserve">bez razmatranja različitih finansijskih instrumenata i drugih ugovora a takav projekat bio prelazio okvire ovog projekta ograničenog djelokruga. </w:t>
      </w:r>
      <w:r w:rsidR="001C3CBD" w:rsidRPr="002420C1">
        <w:rPr>
          <w:i/>
          <w:iCs/>
          <w:lang w:val="hr-HR"/>
        </w:rPr>
        <w:t>IASB</w:t>
      </w:r>
      <w:r w:rsidR="001C3CBD" w:rsidRPr="00EF5D0A">
        <w:rPr>
          <w:lang w:val="hr-HR"/>
        </w:rPr>
        <w:t xml:space="preserve"> </w:t>
      </w:r>
      <w:r w:rsidR="002420C1">
        <w:rPr>
          <w:lang w:val="hr-HR"/>
        </w:rPr>
        <w:t xml:space="preserve">je </w:t>
      </w:r>
      <w:r w:rsidR="0000452C">
        <w:rPr>
          <w:lang w:val="hr-HR"/>
        </w:rPr>
        <w:t xml:space="preserve">uvažio </w:t>
      </w:r>
      <w:r w:rsidR="002420C1">
        <w:rPr>
          <w:lang w:val="hr-HR"/>
        </w:rPr>
        <w:t xml:space="preserve">da će, prije nego odrede da li primijeniti predmetne </w:t>
      </w:r>
      <w:r w:rsidR="0000452C">
        <w:rPr>
          <w:lang w:val="hr-HR"/>
        </w:rPr>
        <w:t xml:space="preserve">izmjene i dopune </w:t>
      </w:r>
      <w:r w:rsidR="002420C1">
        <w:rPr>
          <w:lang w:val="hr-HR"/>
        </w:rPr>
        <w:t xml:space="preserve">na </w:t>
      </w:r>
      <w:r w:rsidR="0000452C">
        <w:rPr>
          <w:lang w:val="hr-HR"/>
        </w:rPr>
        <w:t xml:space="preserve">neki </w:t>
      </w:r>
      <w:r w:rsidR="002420C1">
        <w:rPr>
          <w:lang w:val="hr-HR"/>
        </w:rPr>
        <w:t xml:space="preserve">ugovor, subjekti razmatrati suštinu svojih prava i obaveza. </w:t>
      </w:r>
    </w:p>
    <w:p w14:paraId="1172A09D" w14:textId="3EFAE11E" w:rsidR="00014FB0" w:rsidRPr="00EF5D0A" w:rsidRDefault="00A92D4A">
      <w:pPr>
        <w:pStyle w:val="IASBNormalnpara"/>
        <w:rPr>
          <w:lang w:val="hr-HR"/>
        </w:rPr>
      </w:pPr>
      <w:r>
        <w:rPr>
          <w:lang w:val="hr-HR"/>
        </w:rPr>
        <w:t>OZ</w:t>
      </w:r>
      <w:r w:rsidR="001C3CBD" w:rsidRPr="00EF5D0A">
        <w:rPr>
          <w:lang w:val="hr-HR"/>
        </w:rPr>
        <w:t>2.17I</w:t>
      </w:r>
      <w:r w:rsidR="001C3CBD" w:rsidRPr="00EF5D0A">
        <w:rPr>
          <w:lang w:val="hr-HR"/>
        </w:rPr>
        <w:tab/>
      </w:r>
      <w:r w:rsidR="002420C1">
        <w:rPr>
          <w:lang w:val="hr-HR"/>
        </w:rPr>
        <w:t xml:space="preserve">Dionici su naveli i to da ugovore </w:t>
      </w:r>
      <w:r w:rsidR="00491E33">
        <w:rPr>
          <w:lang w:val="hr-HR"/>
        </w:rPr>
        <w:t xml:space="preserve">o </w:t>
      </w:r>
      <w:r w:rsidR="002420C1">
        <w:rPr>
          <w:lang w:val="hr-HR"/>
        </w:rPr>
        <w:t>električn</w:t>
      </w:r>
      <w:r w:rsidR="00491E33">
        <w:rPr>
          <w:lang w:val="hr-HR"/>
        </w:rPr>
        <w:t>oj</w:t>
      </w:r>
      <w:r w:rsidR="002420C1">
        <w:rPr>
          <w:lang w:val="hr-HR"/>
        </w:rPr>
        <w:t xml:space="preserve"> energij</w:t>
      </w:r>
      <w:r w:rsidR="00491E33">
        <w:rPr>
          <w:lang w:val="hr-HR"/>
        </w:rPr>
        <w:t>i</w:t>
      </w:r>
      <w:r w:rsidR="002420C1">
        <w:rPr>
          <w:lang w:val="hr-HR"/>
        </w:rPr>
        <w:t xml:space="preserve"> iz izvora </w:t>
      </w:r>
      <w:r w:rsidR="00491E33">
        <w:rPr>
          <w:lang w:val="hr-HR"/>
        </w:rPr>
        <w:t xml:space="preserve">koji zavise od prirodnih uslova </w:t>
      </w:r>
      <w:r w:rsidR="002420C1">
        <w:rPr>
          <w:lang w:val="hr-HR"/>
        </w:rPr>
        <w:t xml:space="preserve">u pravilu prate certifikati </w:t>
      </w:r>
      <w:r w:rsidR="004606F3">
        <w:rPr>
          <w:lang w:val="hr-HR"/>
        </w:rPr>
        <w:t xml:space="preserve">za proizvodnju iz </w:t>
      </w:r>
      <w:r w:rsidR="002420C1">
        <w:rPr>
          <w:lang w:val="hr-HR"/>
        </w:rPr>
        <w:t xml:space="preserve">obnovljivih izvora /engl. </w:t>
      </w:r>
      <w:r w:rsidR="001C3CBD" w:rsidRPr="002420C1">
        <w:rPr>
          <w:i/>
          <w:iCs/>
          <w:lang w:val="hr-HR"/>
        </w:rPr>
        <w:t xml:space="preserve">renewable energy certificate </w:t>
      </w:r>
      <w:r w:rsidR="002420C1" w:rsidRPr="002420C1">
        <w:rPr>
          <w:i/>
          <w:iCs/>
          <w:lang w:val="hr-HR"/>
        </w:rPr>
        <w:t xml:space="preserve">– </w:t>
      </w:r>
      <w:r w:rsidR="001C3CBD" w:rsidRPr="002420C1">
        <w:rPr>
          <w:i/>
          <w:iCs/>
          <w:lang w:val="hr-HR"/>
        </w:rPr>
        <w:t>REC</w:t>
      </w:r>
      <w:r w:rsidR="002420C1">
        <w:rPr>
          <w:lang w:val="hr-HR"/>
        </w:rPr>
        <w:t>/</w:t>
      </w:r>
      <w:r w:rsidR="001C3CBD" w:rsidRPr="00EF5D0A">
        <w:rPr>
          <w:lang w:val="hr-HR"/>
        </w:rPr>
        <w:t xml:space="preserve"> </w:t>
      </w:r>
      <w:r w:rsidR="002420C1">
        <w:rPr>
          <w:lang w:val="hr-HR"/>
        </w:rPr>
        <w:t xml:space="preserve">ili slična uvjerenja, </w:t>
      </w:r>
      <w:r w:rsidR="004606F3">
        <w:rPr>
          <w:lang w:val="hr-HR"/>
        </w:rPr>
        <w:t xml:space="preserve">šeme </w:t>
      </w:r>
      <w:r w:rsidR="002420C1">
        <w:rPr>
          <w:lang w:val="hr-HR"/>
        </w:rPr>
        <w:t xml:space="preserve">ili akreditivi. </w:t>
      </w:r>
      <w:r w:rsidR="002420C1" w:rsidRPr="002420C1">
        <w:rPr>
          <w:i/>
          <w:iCs/>
          <w:lang w:val="hr-HR"/>
        </w:rPr>
        <w:t>R</w:t>
      </w:r>
      <w:r w:rsidR="001C3CBD" w:rsidRPr="002420C1">
        <w:rPr>
          <w:i/>
          <w:iCs/>
          <w:lang w:val="hr-HR"/>
        </w:rPr>
        <w:t>EC</w:t>
      </w:r>
      <w:r w:rsidR="004606F3">
        <w:rPr>
          <w:lang w:val="hr-HR"/>
        </w:rPr>
        <w:t xml:space="preserve"> certifikati</w:t>
      </w:r>
      <w:r w:rsidR="002420C1">
        <w:rPr>
          <w:lang w:val="hr-HR"/>
        </w:rPr>
        <w:t xml:space="preserve"> su instrumenti zasnovani na tržištu kojima se potvrđuje da </w:t>
      </w:r>
      <w:r w:rsidR="004606F3">
        <w:rPr>
          <w:lang w:val="hr-HR"/>
        </w:rPr>
        <w:t>lice</w:t>
      </w:r>
      <w:r w:rsidR="002420C1">
        <w:rPr>
          <w:lang w:val="hr-HR"/>
        </w:rPr>
        <w:t xml:space="preserve"> koje ih posjeduje drži električnu energiju proizvedenu u </w:t>
      </w:r>
      <w:r w:rsidR="004606F3">
        <w:rPr>
          <w:lang w:val="hr-HR"/>
        </w:rPr>
        <w:t xml:space="preserve">elektrani </w:t>
      </w:r>
      <w:r w:rsidR="002420C1">
        <w:rPr>
          <w:lang w:val="hr-HR"/>
        </w:rPr>
        <w:t>koja korist</w:t>
      </w:r>
      <w:r w:rsidR="004606F3">
        <w:rPr>
          <w:lang w:val="hr-HR"/>
        </w:rPr>
        <w:t>i</w:t>
      </w:r>
      <w:r w:rsidR="002420C1">
        <w:rPr>
          <w:lang w:val="hr-HR"/>
        </w:rPr>
        <w:t xml:space="preserve"> obnovljive izvore</w:t>
      </w:r>
      <w:r w:rsidR="004606F3">
        <w:rPr>
          <w:lang w:val="hr-HR"/>
        </w:rPr>
        <w:t xml:space="preserve">. Oni, </w:t>
      </w:r>
      <w:r w:rsidR="002420C1">
        <w:rPr>
          <w:lang w:val="hr-HR"/>
        </w:rPr>
        <w:t>u pravilu</w:t>
      </w:r>
      <w:r w:rsidR="004606F3">
        <w:rPr>
          <w:lang w:val="hr-HR"/>
        </w:rPr>
        <w:t>,</w:t>
      </w:r>
      <w:r w:rsidR="002420C1">
        <w:rPr>
          <w:lang w:val="hr-HR"/>
        </w:rPr>
        <w:t xml:space="preserve"> </w:t>
      </w:r>
      <w:r w:rsidR="004606F3">
        <w:rPr>
          <w:lang w:val="hr-HR"/>
        </w:rPr>
        <w:t>služe kao</w:t>
      </w:r>
      <w:r w:rsidR="002420C1">
        <w:rPr>
          <w:lang w:val="hr-HR"/>
        </w:rPr>
        <w:t xml:space="preserve"> </w:t>
      </w:r>
      <w:r w:rsidR="004606F3">
        <w:rPr>
          <w:lang w:val="hr-HR"/>
        </w:rPr>
        <w:t>značajan</w:t>
      </w:r>
      <w:r w:rsidR="002420C1">
        <w:rPr>
          <w:lang w:val="hr-HR"/>
        </w:rPr>
        <w:t xml:space="preserve"> podsticaj </w:t>
      </w:r>
      <w:r w:rsidR="00097433">
        <w:rPr>
          <w:lang w:val="hr-HR"/>
        </w:rPr>
        <w:t xml:space="preserve">za subjekte da sklapaju ugovore </w:t>
      </w:r>
      <w:r w:rsidR="004606F3">
        <w:rPr>
          <w:lang w:val="hr-HR"/>
        </w:rPr>
        <w:t>o</w:t>
      </w:r>
      <w:r w:rsidR="00097433">
        <w:rPr>
          <w:lang w:val="hr-HR"/>
        </w:rPr>
        <w:t xml:space="preserve"> električn</w:t>
      </w:r>
      <w:r w:rsidR="004606F3">
        <w:rPr>
          <w:lang w:val="hr-HR"/>
        </w:rPr>
        <w:t>oj</w:t>
      </w:r>
      <w:r w:rsidR="00097433">
        <w:rPr>
          <w:lang w:val="hr-HR"/>
        </w:rPr>
        <w:t xml:space="preserve"> energij</w:t>
      </w:r>
      <w:r w:rsidR="004606F3">
        <w:rPr>
          <w:lang w:val="hr-HR"/>
        </w:rPr>
        <w:t>i</w:t>
      </w:r>
      <w:r w:rsidR="00097433">
        <w:rPr>
          <w:lang w:val="hr-HR"/>
        </w:rPr>
        <w:t xml:space="preserve"> iz izvora</w:t>
      </w:r>
      <w:r w:rsidR="004606F3">
        <w:rPr>
          <w:lang w:val="hr-HR"/>
        </w:rPr>
        <w:t xml:space="preserve"> zavisnih od prirodnih uslova.</w:t>
      </w:r>
      <w:r w:rsidR="00097433">
        <w:rPr>
          <w:lang w:val="hr-HR"/>
        </w:rPr>
        <w:t xml:space="preserve"> </w:t>
      </w:r>
      <w:r w:rsidR="001C3CBD" w:rsidRPr="00097433">
        <w:rPr>
          <w:i/>
          <w:iCs/>
          <w:lang w:val="hr-HR"/>
        </w:rPr>
        <w:t>IASB</w:t>
      </w:r>
      <w:r w:rsidR="001C3CBD" w:rsidRPr="00EF5D0A">
        <w:rPr>
          <w:lang w:val="hr-HR"/>
        </w:rPr>
        <w:t xml:space="preserve"> </w:t>
      </w:r>
      <w:r w:rsidR="006940C3">
        <w:rPr>
          <w:lang w:val="hr-HR"/>
        </w:rPr>
        <w:t xml:space="preserve">je zaključio da zabrinutost dionika oko </w:t>
      </w:r>
      <w:r w:rsidR="004606F3">
        <w:rPr>
          <w:lang w:val="hr-HR"/>
        </w:rPr>
        <w:t xml:space="preserve">takvih </w:t>
      </w:r>
      <w:r w:rsidR="006940C3">
        <w:rPr>
          <w:lang w:val="hr-HR"/>
        </w:rPr>
        <w:t xml:space="preserve">ugovora može učinkovito osloviti zasebno od pitanja u vezi s obračunavanjem za potrebe </w:t>
      </w:r>
      <w:r w:rsidR="006940C3" w:rsidRPr="006940C3">
        <w:rPr>
          <w:i/>
          <w:iCs/>
          <w:lang w:val="hr-HR"/>
        </w:rPr>
        <w:t>REC</w:t>
      </w:r>
      <w:r w:rsidR="004D691F">
        <w:rPr>
          <w:lang w:val="hr-HR"/>
        </w:rPr>
        <w:t xml:space="preserve"> certifikata</w:t>
      </w:r>
      <w:r w:rsidR="006940C3">
        <w:rPr>
          <w:lang w:val="hr-HR"/>
        </w:rPr>
        <w:t xml:space="preserve"> i t</w:t>
      </w:r>
      <w:r w:rsidR="004D691F">
        <w:rPr>
          <w:lang w:val="hr-HR"/>
        </w:rPr>
        <w:t>oga</w:t>
      </w:r>
      <w:r w:rsidR="006940C3">
        <w:rPr>
          <w:lang w:val="hr-HR"/>
        </w:rPr>
        <w:t xml:space="preserve"> kako je to obračunavanje povezano sa obračunavanjem predmetnih ugovora. Da je uvrstio </w:t>
      </w:r>
      <w:r w:rsidR="006940C3" w:rsidRPr="006940C3">
        <w:rPr>
          <w:i/>
          <w:iCs/>
          <w:lang w:val="hr-HR"/>
        </w:rPr>
        <w:t>REC</w:t>
      </w:r>
      <w:r w:rsidR="004D691F">
        <w:rPr>
          <w:lang w:val="hr-HR"/>
        </w:rPr>
        <w:t xml:space="preserve"> certifikate</w:t>
      </w:r>
      <w:r w:rsidR="006940C3">
        <w:rPr>
          <w:lang w:val="hr-HR"/>
        </w:rPr>
        <w:t xml:space="preserve"> u projekat, </w:t>
      </w:r>
      <w:r w:rsidR="001C3CBD" w:rsidRPr="006940C3">
        <w:rPr>
          <w:i/>
          <w:iCs/>
          <w:lang w:val="hr-HR"/>
        </w:rPr>
        <w:t>IASB</w:t>
      </w:r>
      <w:r w:rsidR="001C3CBD" w:rsidRPr="00EF5D0A">
        <w:rPr>
          <w:lang w:val="hr-HR"/>
        </w:rPr>
        <w:t xml:space="preserve"> </w:t>
      </w:r>
      <w:r w:rsidR="006940C3">
        <w:rPr>
          <w:lang w:val="hr-HR"/>
        </w:rPr>
        <w:t xml:space="preserve">bi ga time nepotrebno odgodio jer bi morali razmatrati širi </w:t>
      </w:r>
      <w:r w:rsidR="004D691F">
        <w:rPr>
          <w:lang w:val="hr-HR"/>
        </w:rPr>
        <w:t xml:space="preserve">spektar aranžmana. </w:t>
      </w:r>
    </w:p>
    <w:p w14:paraId="75885EB4" w14:textId="0576C3CB" w:rsidR="00014FB0" w:rsidRPr="00EF5D0A" w:rsidRDefault="006940C3">
      <w:pPr>
        <w:pStyle w:val="IASBSectionTitle2Ind"/>
        <w:rPr>
          <w:lang w:val="hr-HR"/>
        </w:rPr>
      </w:pPr>
      <w:bookmarkStart w:id="38" w:name="unique_35"/>
      <w:r>
        <w:rPr>
          <w:lang w:val="hr-HR"/>
        </w:rPr>
        <w:t>Ugovori o kupovini ili prodaji nefina</w:t>
      </w:r>
      <w:r w:rsidR="003727BB">
        <w:rPr>
          <w:lang w:val="hr-HR"/>
        </w:rPr>
        <w:t>n</w:t>
      </w:r>
      <w:r>
        <w:rPr>
          <w:lang w:val="hr-HR"/>
        </w:rPr>
        <w:t xml:space="preserve">sijske stavke </w:t>
      </w:r>
      <w:bookmarkEnd w:id="38"/>
    </w:p>
    <w:p w14:paraId="0BA61E06" w14:textId="77777777" w:rsidR="00014FB0" w:rsidRPr="00EF5D0A" w:rsidRDefault="001C3CBD" w:rsidP="00C74DF5">
      <w:pPr>
        <w:pStyle w:val="IASBNormalnpara"/>
        <w:spacing w:beforeLines="60" w:before="144"/>
        <w:rPr>
          <w:lang w:val="hr-HR"/>
        </w:rPr>
      </w:pPr>
      <w:r w:rsidRPr="00EF5D0A">
        <w:rPr>
          <w:lang w:val="hr-HR"/>
        </w:rPr>
        <w:tab/>
        <w:t>...</w:t>
      </w:r>
    </w:p>
    <w:p w14:paraId="7EDA7EC1" w14:textId="37D2C353" w:rsidR="00014FB0" w:rsidRPr="00EF5D0A" w:rsidRDefault="006940C3" w:rsidP="00C74DF5">
      <w:pPr>
        <w:pStyle w:val="IASBSectionTitle3Ind"/>
        <w:spacing w:beforeLines="60" w:before="144"/>
        <w:rPr>
          <w:lang w:val="hr-HR"/>
        </w:rPr>
      </w:pPr>
      <w:bookmarkStart w:id="39" w:name="unique_109"/>
      <w:r>
        <w:rPr>
          <w:lang w:val="hr-HR"/>
        </w:rPr>
        <w:t xml:space="preserve">Ugovori o kupovini električne energije proizvedene iz izvora </w:t>
      </w:r>
      <w:r w:rsidR="004D691F">
        <w:rPr>
          <w:lang w:val="hr-HR"/>
        </w:rPr>
        <w:t>zavisnih</w:t>
      </w:r>
      <w:r>
        <w:rPr>
          <w:lang w:val="hr-HR"/>
        </w:rPr>
        <w:t xml:space="preserve"> od prirodnih uslov</w:t>
      </w:r>
      <w:r w:rsidR="003727BB">
        <w:rPr>
          <w:lang w:val="hr-HR"/>
        </w:rPr>
        <w:t>a</w:t>
      </w:r>
      <w:r>
        <w:rPr>
          <w:lang w:val="hr-HR"/>
        </w:rPr>
        <w:t xml:space="preserve"> koje nije moguće kontrolisati </w:t>
      </w:r>
      <w:r w:rsidR="001C3CBD" w:rsidRPr="00EF5D0A">
        <w:rPr>
          <w:lang w:val="hr-HR"/>
        </w:rPr>
        <w:t>(</w:t>
      </w:r>
      <w:r>
        <w:rPr>
          <w:lang w:val="hr-HR"/>
        </w:rPr>
        <w:t xml:space="preserve">tačke </w:t>
      </w:r>
      <w:r w:rsidR="001C3CBD" w:rsidRPr="00EF5D0A">
        <w:rPr>
          <w:lang w:val="hr-HR"/>
        </w:rPr>
        <w:t>B2.7</w:t>
      </w:r>
      <w:r>
        <w:rPr>
          <w:lang w:val="hr-HR"/>
        </w:rPr>
        <w:t xml:space="preserve"> i </w:t>
      </w:r>
      <w:r w:rsidR="001C3CBD" w:rsidRPr="00EF5D0A">
        <w:rPr>
          <w:lang w:val="hr-HR"/>
        </w:rPr>
        <w:t>B2.8)</w:t>
      </w:r>
      <w:bookmarkEnd w:id="39"/>
    </w:p>
    <w:p w14:paraId="1F3DA342" w14:textId="0F97F418" w:rsidR="00014FB0" w:rsidRPr="00EF5D0A" w:rsidRDefault="00A92D4A" w:rsidP="00B55C32">
      <w:pPr>
        <w:pStyle w:val="IASBNormalnpara"/>
        <w:tabs>
          <w:tab w:val="left" w:pos="7230"/>
        </w:tabs>
        <w:rPr>
          <w:lang w:val="hr-HR"/>
        </w:rPr>
      </w:pPr>
      <w:r>
        <w:rPr>
          <w:lang w:val="hr-HR"/>
        </w:rPr>
        <w:t>OZ</w:t>
      </w:r>
      <w:r w:rsidR="001C3CBD" w:rsidRPr="00EF5D0A">
        <w:rPr>
          <w:lang w:val="hr-HR"/>
        </w:rPr>
        <w:t>2.18A</w:t>
      </w:r>
      <w:r w:rsidR="001C3CBD" w:rsidRPr="00EF5D0A">
        <w:rPr>
          <w:lang w:val="hr-HR"/>
        </w:rPr>
        <w:tab/>
      </w:r>
      <w:r w:rsidR="006940C3">
        <w:rPr>
          <w:lang w:val="hr-HR"/>
        </w:rPr>
        <w:t xml:space="preserve">Tačka </w:t>
      </w:r>
      <w:r w:rsidR="001C3CBD" w:rsidRPr="00EF5D0A">
        <w:rPr>
          <w:lang w:val="hr-HR"/>
        </w:rPr>
        <w:t>2.3</w:t>
      </w:r>
      <w:r w:rsidR="003727BB">
        <w:rPr>
          <w:lang w:val="hr-HR"/>
        </w:rPr>
        <w:t>.</w:t>
      </w:r>
      <w:r w:rsidR="001C3CBD" w:rsidRPr="00EF5D0A">
        <w:rPr>
          <w:lang w:val="hr-HR"/>
        </w:rPr>
        <w:t xml:space="preserve">A </w:t>
      </w:r>
      <w:r w:rsidR="006940C3">
        <w:rPr>
          <w:lang w:val="hr-HR"/>
        </w:rPr>
        <w:t>MSFI-ja</w:t>
      </w:r>
      <w:r w:rsidR="001C3CBD" w:rsidRPr="00EF5D0A">
        <w:rPr>
          <w:lang w:val="hr-HR"/>
        </w:rPr>
        <w:t xml:space="preserve"> 9 </w:t>
      </w:r>
      <w:r w:rsidR="006940C3">
        <w:rPr>
          <w:lang w:val="hr-HR"/>
        </w:rPr>
        <w:t xml:space="preserve">propisuje karakteristike ugovora </w:t>
      </w:r>
      <w:r w:rsidR="00B55C32">
        <w:rPr>
          <w:lang w:val="hr-HR"/>
        </w:rPr>
        <w:t xml:space="preserve">o </w:t>
      </w:r>
      <w:r w:rsidR="006940C3">
        <w:rPr>
          <w:lang w:val="hr-HR"/>
        </w:rPr>
        <w:t>električn</w:t>
      </w:r>
      <w:r w:rsidR="00B55C32">
        <w:rPr>
          <w:lang w:val="hr-HR"/>
        </w:rPr>
        <w:t>oj</w:t>
      </w:r>
      <w:r w:rsidR="006940C3">
        <w:rPr>
          <w:lang w:val="hr-HR"/>
        </w:rPr>
        <w:t xml:space="preserve"> energij</w:t>
      </w:r>
      <w:r w:rsidR="00B55C32">
        <w:rPr>
          <w:lang w:val="hr-HR"/>
        </w:rPr>
        <w:t>i</w:t>
      </w:r>
      <w:r w:rsidR="006940C3">
        <w:rPr>
          <w:lang w:val="hr-HR"/>
        </w:rPr>
        <w:t xml:space="preserve"> iz </w:t>
      </w:r>
      <w:r w:rsidR="00B55C32">
        <w:rPr>
          <w:lang w:val="hr-HR"/>
        </w:rPr>
        <w:t xml:space="preserve">izvora zavisnih od </w:t>
      </w:r>
      <w:r w:rsidR="006940C3">
        <w:rPr>
          <w:lang w:val="hr-HR"/>
        </w:rPr>
        <w:t>prirodnih</w:t>
      </w:r>
      <w:r w:rsidR="00B55C32">
        <w:rPr>
          <w:lang w:val="hr-HR"/>
        </w:rPr>
        <w:t xml:space="preserve"> uslova</w:t>
      </w:r>
      <w:r w:rsidR="006940C3">
        <w:rPr>
          <w:lang w:val="hr-HR"/>
        </w:rPr>
        <w:t>.</w:t>
      </w:r>
      <w:r w:rsidR="00B55C32">
        <w:rPr>
          <w:lang w:val="hr-HR"/>
        </w:rPr>
        <w:t xml:space="preserve"> </w:t>
      </w:r>
      <w:r w:rsidR="006940C3">
        <w:rPr>
          <w:lang w:val="hr-HR"/>
        </w:rPr>
        <w:t xml:space="preserve">Te karakteristike, zajedno sa ugovornom obavezom subjekata da </w:t>
      </w:r>
      <w:r w:rsidR="00B55C32">
        <w:rPr>
          <w:lang w:val="hr-HR"/>
        </w:rPr>
        <w:t>kupe</w:t>
      </w:r>
      <w:r w:rsidR="006940C3">
        <w:rPr>
          <w:lang w:val="hr-HR"/>
        </w:rPr>
        <w:t xml:space="preserve"> i prihvate isporuku ugovorenih količina električne energije kada se proizvedu</w:t>
      </w:r>
      <w:r w:rsidR="001C3CBD" w:rsidRPr="00EF5D0A">
        <w:rPr>
          <w:lang w:val="hr-HR"/>
        </w:rPr>
        <w:t xml:space="preserve">, </w:t>
      </w:r>
      <w:r w:rsidR="006940C3">
        <w:rPr>
          <w:lang w:val="hr-HR"/>
        </w:rPr>
        <w:t>može dovesti do n</w:t>
      </w:r>
      <w:r w:rsidR="00B55C32">
        <w:rPr>
          <w:lang w:val="hr-HR"/>
        </w:rPr>
        <w:t xml:space="preserve">epodudaranja </w:t>
      </w:r>
      <w:r w:rsidR="006940C3">
        <w:rPr>
          <w:lang w:val="hr-HR"/>
        </w:rPr>
        <w:t>između količina električne energije koje se isporuče subjektu i njegov</w:t>
      </w:r>
      <w:r w:rsidR="00B55C32">
        <w:rPr>
          <w:lang w:val="hr-HR"/>
        </w:rPr>
        <w:t xml:space="preserve">ih potreba za istom </w:t>
      </w:r>
      <w:r w:rsidR="006940C3">
        <w:rPr>
          <w:lang w:val="hr-HR"/>
        </w:rPr>
        <w:t>u trenutku isporuke. Kada se jave t</w:t>
      </w:r>
      <w:r w:rsidR="00B55C32">
        <w:rPr>
          <w:lang w:val="hr-HR"/>
        </w:rPr>
        <w:t>a</w:t>
      </w:r>
      <w:r w:rsidR="006940C3">
        <w:rPr>
          <w:lang w:val="hr-HR"/>
        </w:rPr>
        <w:t xml:space="preserve"> </w:t>
      </w:r>
      <w:r w:rsidR="00B55C32">
        <w:rPr>
          <w:lang w:val="hr-HR"/>
        </w:rPr>
        <w:t>nepodudaranja</w:t>
      </w:r>
      <w:r w:rsidR="006940C3">
        <w:rPr>
          <w:lang w:val="hr-HR"/>
        </w:rPr>
        <w:t xml:space="preserve">, subjekt prodaje električnu energiju koju nije utrošio. Dionici su obavijestili </w:t>
      </w:r>
      <w:r w:rsidR="006940C3" w:rsidRPr="006940C3">
        <w:rPr>
          <w:i/>
          <w:iCs/>
          <w:lang w:val="hr-HR"/>
        </w:rPr>
        <w:t>IASB</w:t>
      </w:r>
      <w:r w:rsidR="006940C3">
        <w:rPr>
          <w:lang w:val="hr-HR"/>
        </w:rPr>
        <w:t xml:space="preserve"> da, bez obzira što se ta</w:t>
      </w:r>
      <w:r w:rsidR="00B55C32">
        <w:rPr>
          <w:lang w:val="hr-HR"/>
        </w:rPr>
        <w:t>kva</w:t>
      </w:r>
      <w:r w:rsidR="006940C3">
        <w:rPr>
          <w:lang w:val="hr-HR"/>
        </w:rPr>
        <w:t xml:space="preserve"> prodaja očekuje </w:t>
      </w:r>
      <w:r w:rsidR="00B55C32">
        <w:rPr>
          <w:lang w:val="hr-HR"/>
        </w:rPr>
        <w:t xml:space="preserve">od </w:t>
      </w:r>
      <w:r w:rsidR="006940C3">
        <w:rPr>
          <w:lang w:val="hr-HR"/>
        </w:rPr>
        <w:t>početk</w:t>
      </w:r>
      <w:r w:rsidR="00B55C32">
        <w:rPr>
          <w:lang w:val="hr-HR"/>
        </w:rPr>
        <w:t>a</w:t>
      </w:r>
      <w:r w:rsidR="006940C3">
        <w:rPr>
          <w:lang w:val="hr-HR"/>
        </w:rPr>
        <w:t xml:space="preserve"> važenja ugovora i što </w:t>
      </w:r>
      <w:r w:rsidR="00820096">
        <w:rPr>
          <w:lang w:val="hr-HR"/>
        </w:rPr>
        <w:t>se može raditi o značajnim količinama ili se to često dešavati, subjek</w:t>
      </w:r>
      <w:r w:rsidR="00B55C32">
        <w:rPr>
          <w:lang w:val="hr-HR"/>
        </w:rPr>
        <w:t>ti</w:t>
      </w:r>
      <w:r w:rsidR="00820096">
        <w:rPr>
          <w:lang w:val="hr-HR"/>
        </w:rPr>
        <w:t xml:space="preserve"> u trenutku sklapanja ugovora zaista namjerava</w:t>
      </w:r>
      <w:r w:rsidR="00B55C32">
        <w:rPr>
          <w:lang w:val="hr-HR"/>
        </w:rPr>
        <w:t>ju</w:t>
      </w:r>
      <w:r w:rsidR="00820096">
        <w:rPr>
          <w:lang w:val="hr-HR"/>
        </w:rPr>
        <w:t xml:space="preserve"> da prihvat</w:t>
      </w:r>
      <w:r w:rsidR="00B55C32">
        <w:rPr>
          <w:lang w:val="hr-HR"/>
        </w:rPr>
        <w:t>e</w:t>
      </w:r>
      <w:r w:rsidR="00820096">
        <w:rPr>
          <w:lang w:val="hr-HR"/>
        </w:rPr>
        <w:t xml:space="preserve"> isporuku električne energije u skladu sa svojim </w:t>
      </w:r>
      <w:r w:rsidR="00B55C32">
        <w:rPr>
          <w:lang w:val="hr-HR"/>
        </w:rPr>
        <w:t xml:space="preserve">očekivanim </w:t>
      </w:r>
      <w:r w:rsidR="00820096">
        <w:rPr>
          <w:lang w:val="hr-HR"/>
        </w:rPr>
        <w:t xml:space="preserve">potrebama za istom i, prema tome, na takvu prodaju se ne može gledati kao da je motivisana sticanjem dobiti. Način obračunavanja koji nalaže tačka </w:t>
      </w:r>
      <w:r w:rsidR="001C3CBD" w:rsidRPr="00EF5D0A">
        <w:rPr>
          <w:lang w:val="hr-HR"/>
        </w:rPr>
        <w:t xml:space="preserve">2.4 </w:t>
      </w:r>
      <w:r w:rsidR="00820096">
        <w:rPr>
          <w:lang w:val="hr-HR"/>
        </w:rPr>
        <w:t>MSFI-ja</w:t>
      </w:r>
      <w:r w:rsidR="001C3CBD" w:rsidRPr="00EF5D0A">
        <w:rPr>
          <w:lang w:val="hr-HR"/>
        </w:rPr>
        <w:t xml:space="preserve"> 9 </w:t>
      </w:r>
      <w:r w:rsidR="00820096">
        <w:rPr>
          <w:lang w:val="hr-HR"/>
        </w:rPr>
        <w:lastRenderedPageBreak/>
        <w:t xml:space="preserve">odražava i zavisi od namjene u koju se sklapaju i nastavljaju držati ugovori o kupovini ili prodaji nefinansijskih stavki </w:t>
      </w:r>
      <w:r w:rsidR="001C3CBD" w:rsidRPr="00EF5D0A">
        <w:rPr>
          <w:lang w:val="hr-HR"/>
        </w:rPr>
        <w:t>(</w:t>
      </w:r>
      <w:r w:rsidR="00820096">
        <w:rPr>
          <w:lang w:val="hr-HR"/>
        </w:rPr>
        <w:t xml:space="preserve">vidjeti podtačku a. tačke </w:t>
      </w:r>
      <w:r>
        <w:rPr>
          <w:lang w:val="hr-HR"/>
        </w:rPr>
        <w:t>OZ</w:t>
      </w:r>
      <w:r w:rsidR="00B55C32">
        <w:rPr>
          <w:lang w:val="hr-HR"/>
        </w:rPr>
        <w:t>Z</w:t>
      </w:r>
      <w:r w:rsidR="001C3CBD" w:rsidRPr="00EF5D0A">
        <w:rPr>
          <w:lang w:val="hr-HR"/>
        </w:rPr>
        <w:t xml:space="preserve">2.27). </w:t>
      </w:r>
      <w:r w:rsidR="001C3CBD" w:rsidRPr="00820096">
        <w:rPr>
          <w:i/>
          <w:iCs/>
          <w:lang w:val="hr-HR"/>
        </w:rPr>
        <w:t xml:space="preserve">IASB </w:t>
      </w:r>
      <w:r w:rsidR="00820096">
        <w:rPr>
          <w:lang w:val="hr-HR"/>
        </w:rPr>
        <w:t xml:space="preserve">je zaključio da izuzeće </w:t>
      </w:r>
      <w:r w:rsidR="00BA5390">
        <w:rPr>
          <w:lang w:val="hr-HR"/>
        </w:rPr>
        <w:t>za</w:t>
      </w:r>
      <w:r w:rsidR="00820096">
        <w:rPr>
          <w:lang w:val="hr-HR"/>
        </w:rPr>
        <w:t xml:space="preserve"> vlastit</w:t>
      </w:r>
      <w:r w:rsidR="00BA5390">
        <w:rPr>
          <w:lang w:val="hr-HR"/>
        </w:rPr>
        <w:t>e</w:t>
      </w:r>
      <w:r w:rsidR="00820096">
        <w:rPr>
          <w:lang w:val="hr-HR"/>
        </w:rPr>
        <w:t xml:space="preserve"> potreb</w:t>
      </w:r>
      <w:r w:rsidR="00BA5390">
        <w:rPr>
          <w:lang w:val="hr-HR"/>
        </w:rPr>
        <w:t>e</w:t>
      </w:r>
      <w:r w:rsidR="00820096">
        <w:rPr>
          <w:lang w:val="hr-HR"/>
        </w:rPr>
        <w:t xml:space="preserve"> ne navodi jasno na koji način subjekt treba </w:t>
      </w:r>
      <w:r w:rsidR="00CF3EBB">
        <w:rPr>
          <w:lang w:val="hr-HR"/>
        </w:rPr>
        <w:t>promatrati</w:t>
      </w:r>
      <w:r w:rsidR="00820096">
        <w:rPr>
          <w:lang w:val="hr-HR"/>
        </w:rPr>
        <w:t xml:space="preserve"> prodaju neutrošene električne energije koja proističe iz predmetnih ugovora. </w:t>
      </w:r>
    </w:p>
    <w:p w14:paraId="1AACD93F" w14:textId="42CBAF38" w:rsidR="00014FB0" w:rsidRPr="00EF5D0A" w:rsidRDefault="00A92D4A" w:rsidP="00C74DF5">
      <w:pPr>
        <w:pStyle w:val="IASBNormalnpara"/>
        <w:spacing w:before="90"/>
        <w:rPr>
          <w:lang w:val="hr-HR"/>
        </w:rPr>
      </w:pPr>
      <w:r>
        <w:rPr>
          <w:lang w:val="hr-HR"/>
        </w:rPr>
        <w:t>OZ</w:t>
      </w:r>
      <w:r w:rsidR="001C3CBD" w:rsidRPr="00EF5D0A">
        <w:rPr>
          <w:lang w:val="hr-HR"/>
        </w:rPr>
        <w:t>2.18B</w:t>
      </w:r>
      <w:r w:rsidR="001C3CBD" w:rsidRPr="00EF5D0A">
        <w:rPr>
          <w:lang w:val="hr-HR"/>
        </w:rPr>
        <w:tab/>
      </w:r>
      <w:r w:rsidR="00820096">
        <w:rPr>
          <w:lang w:val="hr-HR"/>
        </w:rPr>
        <w:t xml:space="preserve">U skladu s navedenim, </w:t>
      </w:r>
      <w:r w:rsidR="00820096" w:rsidRPr="00820096">
        <w:rPr>
          <w:i/>
          <w:iCs/>
          <w:lang w:val="hr-HR"/>
        </w:rPr>
        <w:t>IASB</w:t>
      </w:r>
      <w:r w:rsidR="00820096">
        <w:rPr>
          <w:lang w:val="hr-HR"/>
        </w:rPr>
        <w:t xml:space="preserve"> je izradio smjernice za primjenu </w:t>
      </w:r>
      <w:r w:rsidR="00CF3EBB">
        <w:rPr>
          <w:lang w:val="hr-HR"/>
        </w:rPr>
        <w:t xml:space="preserve">u </w:t>
      </w:r>
      <w:r w:rsidR="00820096">
        <w:rPr>
          <w:lang w:val="hr-HR"/>
        </w:rPr>
        <w:t>tačk</w:t>
      </w:r>
      <w:r w:rsidR="00CF3EBB">
        <w:rPr>
          <w:lang w:val="hr-HR"/>
        </w:rPr>
        <w:t>ama</w:t>
      </w:r>
      <w:r w:rsidR="00820096">
        <w:rPr>
          <w:lang w:val="hr-HR"/>
        </w:rPr>
        <w:t xml:space="preserve"> </w:t>
      </w:r>
      <w:r w:rsidR="001C3CBD" w:rsidRPr="00EF5D0A">
        <w:rPr>
          <w:lang w:val="hr-HR"/>
        </w:rPr>
        <w:t>B2.7</w:t>
      </w:r>
      <w:r w:rsidR="00820096">
        <w:rPr>
          <w:lang w:val="hr-HR"/>
        </w:rPr>
        <w:t xml:space="preserve"> i </w:t>
      </w:r>
      <w:r w:rsidR="001C3CBD" w:rsidRPr="00EF5D0A">
        <w:rPr>
          <w:lang w:val="hr-HR"/>
        </w:rPr>
        <w:t xml:space="preserve">B2.8 </w:t>
      </w:r>
      <w:r w:rsidR="00820096">
        <w:rPr>
          <w:lang w:val="hr-HR"/>
        </w:rPr>
        <w:t xml:space="preserve">kako bi pomogli subjektima kod procjene toga da li neki ugovor o kupovini električne energije iz izvora koji zavise od prirodnih uslova drže za očekivane vlastite potrebe u skladu sa tačkom </w:t>
      </w:r>
      <w:r w:rsidR="001C3CBD" w:rsidRPr="00EF5D0A">
        <w:rPr>
          <w:lang w:val="hr-HR"/>
        </w:rPr>
        <w:t xml:space="preserve">2.4. </w:t>
      </w:r>
      <w:r w:rsidR="00820096">
        <w:rPr>
          <w:lang w:val="hr-HR"/>
        </w:rPr>
        <w:t xml:space="preserve">Te smjernice su izrađene kako bi pojasnile to kada se za prodaju električne energije tokom važenja ugovora i dalje može reći da se vrši u skladu sa očekivanom potražnjom subjekta za </w:t>
      </w:r>
      <w:r w:rsidR="00CF3EBB">
        <w:rPr>
          <w:lang w:val="hr-HR"/>
        </w:rPr>
        <w:t>električnom energijom</w:t>
      </w:r>
      <w:r w:rsidR="00820096">
        <w:rPr>
          <w:lang w:val="hr-HR"/>
        </w:rPr>
        <w:t xml:space="preserve">. </w:t>
      </w:r>
      <w:r w:rsidR="001C3CBD" w:rsidRPr="00820096">
        <w:rPr>
          <w:i/>
          <w:iCs/>
          <w:lang w:val="hr-HR"/>
        </w:rPr>
        <w:t>IASB</w:t>
      </w:r>
      <w:r w:rsidR="001C3CBD" w:rsidRPr="00EF5D0A">
        <w:rPr>
          <w:lang w:val="hr-HR"/>
        </w:rPr>
        <w:t xml:space="preserve"> </w:t>
      </w:r>
      <w:r w:rsidR="00820096">
        <w:rPr>
          <w:lang w:val="hr-HR"/>
        </w:rPr>
        <w:t>je potvrdio da se tačka</w:t>
      </w:r>
      <w:r w:rsidR="001C3CBD" w:rsidRPr="00EF5D0A">
        <w:rPr>
          <w:lang w:val="hr-HR"/>
        </w:rPr>
        <w:t xml:space="preserve"> 2.4 </w:t>
      </w:r>
      <w:r w:rsidR="00820096">
        <w:rPr>
          <w:lang w:val="hr-HR"/>
        </w:rPr>
        <w:t xml:space="preserve">i dodatna razmatranja iz tačaka </w:t>
      </w:r>
      <w:r w:rsidR="001C3CBD" w:rsidRPr="00EF5D0A">
        <w:rPr>
          <w:lang w:val="hr-HR"/>
        </w:rPr>
        <w:t>B2.7</w:t>
      </w:r>
      <w:r w:rsidR="00820096">
        <w:rPr>
          <w:lang w:val="hr-HR"/>
        </w:rPr>
        <w:t xml:space="preserve"> i </w:t>
      </w:r>
      <w:r w:rsidR="001C3CBD" w:rsidRPr="00EF5D0A">
        <w:rPr>
          <w:lang w:val="hr-HR"/>
        </w:rPr>
        <w:t xml:space="preserve">B2.8 </w:t>
      </w:r>
      <w:r w:rsidR="00820096">
        <w:rPr>
          <w:lang w:val="hr-HR"/>
        </w:rPr>
        <w:t xml:space="preserve">ne odnose na ugovore </w:t>
      </w:r>
      <w:r w:rsidR="00CF3EBB">
        <w:rPr>
          <w:lang w:val="hr-HR"/>
        </w:rPr>
        <w:t xml:space="preserve">o </w:t>
      </w:r>
      <w:r w:rsidR="00820096">
        <w:rPr>
          <w:lang w:val="hr-HR"/>
        </w:rPr>
        <w:t>električn</w:t>
      </w:r>
      <w:r w:rsidR="00CF3EBB">
        <w:rPr>
          <w:lang w:val="hr-HR"/>
        </w:rPr>
        <w:t>oj</w:t>
      </w:r>
      <w:r w:rsidR="00820096">
        <w:rPr>
          <w:lang w:val="hr-HR"/>
        </w:rPr>
        <w:t xml:space="preserve"> energij</w:t>
      </w:r>
      <w:r w:rsidR="00CF3EBB">
        <w:rPr>
          <w:lang w:val="hr-HR"/>
        </w:rPr>
        <w:t>i</w:t>
      </w:r>
      <w:r w:rsidR="00820096">
        <w:rPr>
          <w:lang w:val="hr-HR"/>
        </w:rPr>
        <w:t xml:space="preserve"> iz </w:t>
      </w:r>
      <w:r w:rsidR="00CF3EBB">
        <w:rPr>
          <w:lang w:val="hr-HR"/>
        </w:rPr>
        <w:t xml:space="preserve">izvora zavisnih od </w:t>
      </w:r>
      <w:r w:rsidR="00820096">
        <w:rPr>
          <w:lang w:val="hr-HR"/>
        </w:rPr>
        <w:t>prirodnih</w:t>
      </w:r>
      <w:r w:rsidR="00CF3EBB">
        <w:rPr>
          <w:lang w:val="hr-HR"/>
        </w:rPr>
        <w:t xml:space="preserve"> uslova</w:t>
      </w:r>
      <w:r w:rsidR="00820096">
        <w:rPr>
          <w:lang w:val="hr-HR"/>
        </w:rPr>
        <w:t xml:space="preserve"> koji se </w:t>
      </w:r>
      <w:r w:rsidR="00CF3EBB">
        <w:rPr>
          <w:lang w:val="hr-HR"/>
        </w:rPr>
        <w:t xml:space="preserve">moraju </w:t>
      </w:r>
      <w:r w:rsidR="00820096">
        <w:rPr>
          <w:lang w:val="hr-HR"/>
        </w:rPr>
        <w:t xml:space="preserve">izmiriti neto </w:t>
      </w:r>
      <w:r w:rsidR="00CF3EBB">
        <w:rPr>
          <w:lang w:val="hr-HR"/>
        </w:rPr>
        <w:t xml:space="preserve">u </w:t>
      </w:r>
      <w:r w:rsidR="00820096">
        <w:rPr>
          <w:lang w:val="hr-HR"/>
        </w:rPr>
        <w:t>gotovin</w:t>
      </w:r>
      <w:r w:rsidR="00CF3EBB">
        <w:rPr>
          <w:lang w:val="hr-HR"/>
        </w:rPr>
        <w:t>i</w:t>
      </w:r>
      <w:r w:rsidR="00820096">
        <w:rPr>
          <w:lang w:val="hr-HR"/>
        </w:rPr>
        <w:t xml:space="preserve"> ili drug</w:t>
      </w:r>
      <w:r w:rsidR="00CF3EBB">
        <w:rPr>
          <w:lang w:val="hr-HR"/>
        </w:rPr>
        <w:t>im</w:t>
      </w:r>
      <w:r w:rsidR="00820096">
        <w:rPr>
          <w:lang w:val="hr-HR"/>
        </w:rPr>
        <w:t xml:space="preserve"> finansijsk</w:t>
      </w:r>
      <w:r w:rsidR="00CF3EBB">
        <w:rPr>
          <w:lang w:val="hr-HR"/>
        </w:rPr>
        <w:t>im</w:t>
      </w:r>
      <w:r w:rsidR="00820096">
        <w:rPr>
          <w:lang w:val="hr-HR"/>
        </w:rPr>
        <w:t xml:space="preserve"> instrument</w:t>
      </w:r>
      <w:r w:rsidR="00CF3EBB">
        <w:rPr>
          <w:lang w:val="hr-HR"/>
        </w:rPr>
        <w:t>om</w:t>
      </w:r>
      <w:r w:rsidR="00820096">
        <w:rPr>
          <w:lang w:val="hr-HR"/>
        </w:rPr>
        <w:t xml:space="preserve">. Ti ugovori ne </w:t>
      </w:r>
      <w:r w:rsidR="00CF3EBB">
        <w:rPr>
          <w:lang w:val="hr-HR"/>
        </w:rPr>
        <w:t>zahtijevaju od</w:t>
      </w:r>
      <w:r w:rsidR="00820096">
        <w:rPr>
          <w:lang w:val="hr-HR"/>
        </w:rPr>
        <w:t xml:space="preserve"> subjek</w:t>
      </w:r>
      <w:r w:rsidR="00CF3EBB">
        <w:rPr>
          <w:lang w:val="hr-HR"/>
        </w:rPr>
        <w:t>a</w:t>
      </w:r>
      <w:r w:rsidR="00820096">
        <w:rPr>
          <w:lang w:val="hr-HR"/>
        </w:rPr>
        <w:t>t</w:t>
      </w:r>
      <w:r w:rsidR="00CF3EBB">
        <w:rPr>
          <w:lang w:val="hr-HR"/>
        </w:rPr>
        <w:t>a</w:t>
      </w:r>
      <w:r w:rsidR="00820096">
        <w:rPr>
          <w:lang w:val="hr-HR"/>
        </w:rPr>
        <w:t xml:space="preserve"> da nabavlja</w:t>
      </w:r>
      <w:r w:rsidR="00CF3EBB">
        <w:rPr>
          <w:lang w:val="hr-HR"/>
        </w:rPr>
        <w:t>ju</w:t>
      </w:r>
      <w:r w:rsidR="00820096">
        <w:rPr>
          <w:lang w:val="hr-HR"/>
        </w:rPr>
        <w:t xml:space="preserve"> niti prihvata</w:t>
      </w:r>
      <w:r w:rsidR="00CF3EBB">
        <w:rPr>
          <w:lang w:val="hr-HR"/>
        </w:rPr>
        <w:t>ju</w:t>
      </w:r>
      <w:r w:rsidR="00820096">
        <w:rPr>
          <w:lang w:val="hr-HR"/>
        </w:rPr>
        <w:t xml:space="preserve"> isporuke električne energije </w:t>
      </w:r>
      <w:r w:rsidR="0031102B">
        <w:rPr>
          <w:lang w:val="hr-HR"/>
        </w:rPr>
        <w:t xml:space="preserve">te se, kao i svi drugi derivatni ugovori koji se tiču roba, obračunavaju kao finansijski instrumenti </w:t>
      </w:r>
      <w:r w:rsidR="0004102B">
        <w:rPr>
          <w:lang w:val="hr-HR"/>
        </w:rPr>
        <w:t>koji spadaju u</w:t>
      </w:r>
      <w:r w:rsidR="0031102B">
        <w:rPr>
          <w:lang w:val="hr-HR"/>
        </w:rPr>
        <w:t xml:space="preserve"> djelokrug MSFI-ja 9</w:t>
      </w:r>
      <w:r w:rsidR="001C3CBD" w:rsidRPr="00EF5D0A">
        <w:rPr>
          <w:lang w:val="hr-HR"/>
        </w:rPr>
        <w:t>.</w:t>
      </w:r>
    </w:p>
    <w:p w14:paraId="298F7F3D" w14:textId="77777777" w:rsidR="00C74DF5" w:rsidRPr="00C74DF5" w:rsidRDefault="00C74DF5" w:rsidP="00C74DF5">
      <w:pPr>
        <w:pStyle w:val="IASBSectionTitle4Ind"/>
        <w:spacing w:before="0" w:after="0"/>
        <w:rPr>
          <w:sz w:val="12"/>
          <w:szCs w:val="12"/>
          <w:lang w:val="hr-HR"/>
        </w:rPr>
      </w:pPr>
      <w:bookmarkStart w:id="40" w:name="unique_112"/>
    </w:p>
    <w:p w14:paraId="7416F730" w14:textId="33283BEB" w:rsidR="00014FB0" w:rsidRPr="00EF5D0A" w:rsidRDefault="0004102B" w:rsidP="00C74DF5">
      <w:pPr>
        <w:pStyle w:val="IASBSectionTitle4Ind"/>
        <w:spacing w:before="100"/>
        <w:rPr>
          <w:lang w:val="hr-HR"/>
        </w:rPr>
      </w:pPr>
      <w:r>
        <w:rPr>
          <w:lang w:val="hr-HR"/>
        </w:rPr>
        <w:t>Priroda uslova ugovora i rizika da će subjekt morati kupiti električnu energiju koju ne može iskoristiti u da</w:t>
      </w:r>
      <w:r w:rsidR="00CF3EBB">
        <w:rPr>
          <w:lang w:val="hr-HR"/>
        </w:rPr>
        <w:t>t</w:t>
      </w:r>
      <w:r>
        <w:rPr>
          <w:lang w:val="hr-HR"/>
        </w:rPr>
        <w:t xml:space="preserve">om trenutku </w:t>
      </w:r>
      <w:bookmarkEnd w:id="40"/>
    </w:p>
    <w:p w14:paraId="3015DA35" w14:textId="1F7202C6" w:rsidR="00014FB0" w:rsidRPr="00EF5D0A" w:rsidRDefault="00A92D4A" w:rsidP="00C74DF5">
      <w:pPr>
        <w:pStyle w:val="IASBNormalnpara"/>
        <w:spacing w:before="80"/>
        <w:rPr>
          <w:lang w:val="hr-HR"/>
        </w:rPr>
      </w:pPr>
      <w:r>
        <w:rPr>
          <w:lang w:val="hr-HR"/>
        </w:rPr>
        <w:t>OZ</w:t>
      </w:r>
      <w:r w:rsidR="001C3CBD" w:rsidRPr="00EF5D0A">
        <w:rPr>
          <w:lang w:val="hr-HR"/>
        </w:rPr>
        <w:t>2.18C</w:t>
      </w:r>
      <w:r w:rsidR="001C3CBD" w:rsidRPr="00EF5D0A">
        <w:rPr>
          <w:lang w:val="hr-HR"/>
        </w:rPr>
        <w:tab/>
      </w:r>
      <w:r w:rsidR="004C2C16">
        <w:rPr>
          <w:lang w:val="hr-HR"/>
        </w:rPr>
        <w:t xml:space="preserve">Da bi se za prodaju neutrošene električne energije koju subjekt izvrši tokom važenja ugovora smatralo da je u skladu sa njegovim očekivanim potrebama za električnom energijom, </w:t>
      </w:r>
      <w:r w:rsidR="001C3CBD" w:rsidRPr="004C2C16">
        <w:rPr>
          <w:i/>
          <w:iCs/>
          <w:lang w:val="hr-HR"/>
        </w:rPr>
        <w:t>IASB</w:t>
      </w:r>
      <w:r w:rsidR="001C3CBD" w:rsidRPr="00EF5D0A">
        <w:rPr>
          <w:lang w:val="hr-HR"/>
        </w:rPr>
        <w:t xml:space="preserve"> </w:t>
      </w:r>
      <w:r w:rsidR="004C2C16">
        <w:rPr>
          <w:lang w:val="hr-HR"/>
        </w:rPr>
        <w:t xml:space="preserve">je odredio da ugovor mora nalagati subjektu da kupi određenu količinu električne energije iz izvora </w:t>
      </w:r>
      <w:r w:rsidR="00CF3EBB">
        <w:rPr>
          <w:lang w:val="hr-HR"/>
        </w:rPr>
        <w:t xml:space="preserve">zavisnih od prirodnih uslova </w:t>
      </w:r>
      <w:r w:rsidR="004C2C16">
        <w:rPr>
          <w:lang w:val="hr-HR"/>
        </w:rPr>
        <w:t xml:space="preserve">u trenutku kada se ona proizvede a što ne mora biti isto i kada mu ona zaista treba. Prema ugovoru koji zadovoljava </w:t>
      </w:r>
      <w:r w:rsidR="00CF3EBB">
        <w:rPr>
          <w:lang w:val="hr-HR"/>
        </w:rPr>
        <w:t>taj preduslov</w:t>
      </w:r>
      <w:r w:rsidR="004C2C16">
        <w:rPr>
          <w:lang w:val="hr-HR"/>
        </w:rPr>
        <w:t xml:space="preserve">, subjekt je izložen riziku </w:t>
      </w:r>
      <w:r w:rsidR="00CF3EBB">
        <w:rPr>
          <w:lang w:val="hr-HR"/>
        </w:rPr>
        <w:t xml:space="preserve">da bi </w:t>
      </w:r>
      <w:r w:rsidR="004C2C16">
        <w:rPr>
          <w:lang w:val="hr-HR"/>
        </w:rPr>
        <w:t xml:space="preserve">tokom </w:t>
      </w:r>
      <w:r w:rsidR="00CF3EBB">
        <w:rPr>
          <w:lang w:val="hr-HR"/>
        </w:rPr>
        <w:t>nekog intervala</w:t>
      </w:r>
      <w:r w:rsidR="004C2C16">
        <w:rPr>
          <w:lang w:val="hr-HR"/>
        </w:rPr>
        <w:t xml:space="preserve"> isporuke</w:t>
      </w:r>
      <w:r w:rsidR="00CF3EBB">
        <w:rPr>
          <w:lang w:val="hr-HR"/>
        </w:rPr>
        <w:t xml:space="preserve"> mogao </w:t>
      </w:r>
      <w:r w:rsidR="004C2C16">
        <w:rPr>
          <w:lang w:val="hr-HR"/>
        </w:rPr>
        <w:t xml:space="preserve">prihvatiti isporuku bilo veće ili nedovoljne količine električne energije </w:t>
      </w:r>
      <w:r w:rsidR="00CF3EBB">
        <w:rPr>
          <w:lang w:val="hr-HR"/>
        </w:rPr>
        <w:t>nego što mu treba</w:t>
      </w:r>
      <w:r w:rsidR="004C2C16">
        <w:rPr>
          <w:lang w:val="hr-HR"/>
        </w:rPr>
        <w:t xml:space="preserve"> u datom trenutku. </w:t>
      </w:r>
      <w:r w:rsidR="001C3CBD" w:rsidRPr="00EF5D0A">
        <w:rPr>
          <w:lang w:val="hr-HR"/>
        </w:rPr>
        <w:t xml:space="preserve"> </w:t>
      </w:r>
      <w:r w:rsidR="004C2C16">
        <w:rPr>
          <w:lang w:val="hr-HR"/>
        </w:rPr>
        <w:t xml:space="preserve">Za potrebe primjene tačke </w:t>
      </w:r>
      <w:r w:rsidR="001C3CBD" w:rsidRPr="00EF5D0A">
        <w:rPr>
          <w:lang w:val="hr-HR"/>
        </w:rPr>
        <w:t xml:space="preserve">2.4, </w:t>
      </w:r>
      <w:r w:rsidR="001C3CBD" w:rsidRPr="00856C9E">
        <w:rPr>
          <w:i/>
          <w:iCs/>
          <w:lang w:val="hr-HR"/>
        </w:rPr>
        <w:t>IASB</w:t>
      </w:r>
      <w:r w:rsidR="001C3CBD" w:rsidRPr="00EF5D0A">
        <w:rPr>
          <w:lang w:val="hr-HR"/>
        </w:rPr>
        <w:t xml:space="preserve"> </w:t>
      </w:r>
      <w:r w:rsidR="00856C9E">
        <w:rPr>
          <w:lang w:val="hr-HR"/>
        </w:rPr>
        <w:t xml:space="preserve">je zaključio da rizik da će subjekt primiti </w:t>
      </w:r>
      <w:r w:rsidR="00CF3EBB">
        <w:rPr>
          <w:lang w:val="hr-HR"/>
        </w:rPr>
        <w:t>vrijednost</w:t>
      </w:r>
      <w:r w:rsidR="00856C9E">
        <w:rPr>
          <w:lang w:val="hr-HR"/>
        </w:rPr>
        <w:t xml:space="preserve"> ili količinu električne energije koju ne može utrošiti bitan jer takve situacije vode prodaji neutrošene električne energije. </w:t>
      </w:r>
    </w:p>
    <w:p w14:paraId="51610123" w14:textId="22C47AEA" w:rsidR="00014FB0" w:rsidRPr="00EF5D0A" w:rsidRDefault="00A92D4A" w:rsidP="00C74DF5">
      <w:pPr>
        <w:pStyle w:val="IASBNormalnpara"/>
        <w:spacing w:before="80"/>
        <w:rPr>
          <w:lang w:val="hr-HR"/>
        </w:rPr>
      </w:pPr>
      <w:r>
        <w:rPr>
          <w:lang w:val="hr-HR"/>
        </w:rPr>
        <w:t>OZ</w:t>
      </w:r>
      <w:r w:rsidR="001C3CBD" w:rsidRPr="00EF5D0A">
        <w:rPr>
          <w:lang w:val="hr-HR"/>
        </w:rPr>
        <w:t>2.18D</w:t>
      </w:r>
      <w:r w:rsidR="001C3CBD" w:rsidRPr="00EF5D0A">
        <w:rPr>
          <w:lang w:val="hr-HR"/>
        </w:rPr>
        <w:tab/>
      </w:r>
      <w:r w:rsidR="00FB0AB4">
        <w:rPr>
          <w:lang w:val="hr-HR"/>
        </w:rPr>
        <w:t xml:space="preserve">Zaključak </w:t>
      </w:r>
      <w:r w:rsidR="001C3CBD" w:rsidRPr="00FB0AB4">
        <w:rPr>
          <w:i/>
          <w:iCs/>
          <w:lang w:val="hr-HR"/>
        </w:rPr>
        <w:t>IASB</w:t>
      </w:r>
      <w:r w:rsidR="00FB0AB4">
        <w:rPr>
          <w:lang w:val="hr-HR"/>
        </w:rPr>
        <w:t>-a</w:t>
      </w:r>
      <w:r w:rsidR="001C3CBD" w:rsidRPr="00EF5D0A">
        <w:rPr>
          <w:lang w:val="hr-HR"/>
        </w:rPr>
        <w:t xml:space="preserve"> </w:t>
      </w:r>
      <w:r w:rsidR="00FB0AB4">
        <w:rPr>
          <w:lang w:val="hr-HR"/>
        </w:rPr>
        <w:t xml:space="preserve">odgovara na pitanja o tome kako gledati na obilježja ugovora koja utiču na mjeru u kojoj su subjekti izloženi promjenjivosti predmetnih </w:t>
      </w:r>
      <w:r w:rsidR="004C73DF">
        <w:rPr>
          <w:lang w:val="hr-HR"/>
        </w:rPr>
        <w:t>vrijednosti</w:t>
      </w:r>
      <w:r w:rsidR="00FB0AB4">
        <w:rPr>
          <w:lang w:val="hr-HR"/>
        </w:rPr>
        <w:t xml:space="preserve"> električne energije</w:t>
      </w:r>
      <w:r w:rsidR="004C73DF">
        <w:rPr>
          <w:lang w:val="hr-HR"/>
        </w:rPr>
        <w:t xml:space="preserve">. Oni su </w:t>
      </w:r>
      <w:r w:rsidR="00FB0AB4">
        <w:rPr>
          <w:lang w:val="hr-HR"/>
        </w:rPr>
        <w:t>konstatova</w:t>
      </w:r>
      <w:r w:rsidR="004C73DF">
        <w:rPr>
          <w:lang w:val="hr-HR"/>
        </w:rPr>
        <w:t>li</w:t>
      </w:r>
      <w:r w:rsidR="00FB0AB4">
        <w:rPr>
          <w:lang w:val="hr-HR"/>
        </w:rPr>
        <w:t xml:space="preserve"> da je ugovor moguće strukturi</w:t>
      </w:r>
      <w:r w:rsidR="004C73DF">
        <w:rPr>
          <w:lang w:val="hr-HR"/>
        </w:rPr>
        <w:t>s</w:t>
      </w:r>
      <w:r w:rsidR="00FB0AB4">
        <w:rPr>
          <w:lang w:val="hr-HR"/>
        </w:rPr>
        <w:t xml:space="preserve">ati na više načina kao, primjera radi, uvrštavanjem obilježja za potrebe umanjivanja rizika kao što su gornji i donji pragovi. Zahtjev iz tačke </w:t>
      </w:r>
      <w:r w:rsidR="001C3CBD" w:rsidRPr="00EF5D0A">
        <w:rPr>
          <w:lang w:val="hr-HR"/>
        </w:rPr>
        <w:t xml:space="preserve">B2.7 </w:t>
      </w:r>
      <w:r w:rsidR="00FB0AB4">
        <w:rPr>
          <w:lang w:val="hr-HR"/>
        </w:rPr>
        <w:t>MSFI-ja</w:t>
      </w:r>
      <w:r w:rsidR="001C3CBD" w:rsidRPr="00EF5D0A">
        <w:rPr>
          <w:lang w:val="hr-HR"/>
        </w:rPr>
        <w:t xml:space="preserve"> 9 </w:t>
      </w:r>
      <w:r w:rsidR="004C73DF">
        <w:rPr>
          <w:lang w:val="hr-HR"/>
        </w:rPr>
        <w:t>je da</w:t>
      </w:r>
      <w:r w:rsidR="00FB0AB4">
        <w:rPr>
          <w:lang w:val="hr-HR"/>
        </w:rPr>
        <w:t xml:space="preserve"> ugovor </w:t>
      </w:r>
      <w:r w:rsidR="004C73DF">
        <w:rPr>
          <w:lang w:val="hr-HR"/>
        </w:rPr>
        <w:t xml:space="preserve">izlaže </w:t>
      </w:r>
      <w:r w:rsidR="00E46598">
        <w:rPr>
          <w:lang w:val="hr-HR"/>
        </w:rPr>
        <w:t>subjek</w:t>
      </w:r>
      <w:r w:rsidR="004C73DF">
        <w:rPr>
          <w:lang w:val="hr-HR"/>
        </w:rPr>
        <w:t xml:space="preserve">t </w:t>
      </w:r>
      <w:r w:rsidR="00E46598">
        <w:rPr>
          <w:lang w:val="hr-HR"/>
        </w:rPr>
        <w:t xml:space="preserve">riziku primanja isporuke </w:t>
      </w:r>
      <w:r w:rsidR="004C73DF">
        <w:rPr>
          <w:lang w:val="hr-HR"/>
        </w:rPr>
        <w:t>vrijednosti</w:t>
      </w:r>
      <w:r w:rsidR="00E46598">
        <w:rPr>
          <w:lang w:val="hr-HR"/>
        </w:rPr>
        <w:t xml:space="preserve"> ili količine električne energije u </w:t>
      </w:r>
      <w:r w:rsidR="004C73DF">
        <w:rPr>
          <w:lang w:val="hr-HR"/>
        </w:rPr>
        <w:t>bilo kom intervalu</w:t>
      </w:r>
      <w:r w:rsidR="00E46598">
        <w:rPr>
          <w:lang w:val="hr-HR"/>
        </w:rPr>
        <w:t xml:space="preserve"> isporuke u kojem je ne mo</w:t>
      </w:r>
      <w:r w:rsidR="004C73DF">
        <w:rPr>
          <w:lang w:val="hr-HR"/>
        </w:rPr>
        <w:t xml:space="preserve">že </w:t>
      </w:r>
      <w:r w:rsidR="00E46598">
        <w:rPr>
          <w:lang w:val="hr-HR"/>
        </w:rPr>
        <w:t xml:space="preserve">utrošiti. Na primjer, ugovor </w:t>
      </w:r>
      <w:r w:rsidR="004C73DF">
        <w:rPr>
          <w:lang w:val="hr-HR"/>
        </w:rPr>
        <w:t xml:space="preserve">subjekt </w:t>
      </w:r>
      <w:r w:rsidR="00E46598">
        <w:rPr>
          <w:lang w:val="hr-HR"/>
        </w:rPr>
        <w:t xml:space="preserve">može izložiti </w:t>
      </w:r>
      <w:r w:rsidR="004C73DF">
        <w:rPr>
          <w:lang w:val="hr-HR"/>
        </w:rPr>
        <w:t xml:space="preserve">takvom </w:t>
      </w:r>
      <w:r w:rsidR="00E46598">
        <w:rPr>
          <w:lang w:val="hr-HR"/>
        </w:rPr>
        <w:t xml:space="preserve">riziku čak i kada </w:t>
      </w:r>
      <w:r w:rsidR="00EF539C">
        <w:rPr>
          <w:lang w:val="hr-HR"/>
        </w:rPr>
        <w:t xml:space="preserve">se količina električne energije ugovorno ograniči na stotinu jedinica dnevno. </w:t>
      </w:r>
      <w:r w:rsidR="004C73DF">
        <w:rPr>
          <w:lang w:val="hr-HR"/>
        </w:rPr>
        <w:t>E</w:t>
      </w:r>
      <w:r w:rsidR="00EF539C">
        <w:rPr>
          <w:lang w:val="hr-HR"/>
        </w:rPr>
        <w:t xml:space="preserve">lektrana </w:t>
      </w:r>
      <w:r w:rsidR="004C73DF">
        <w:rPr>
          <w:lang w:val="hr-HR"/>
        </w:rPr>
        <w:t xml:space="preserve">iz ugovora </w:t>
      </w:r>
      <w:r w:rsidR="00EF539C">
        <w:rPr>
          <w:lang w:val="hr-HR"/>
        </w:rPr>
        <w:t xml:space="preserve">može proizvesti i isporučiti stotinu jedinica električne energije </w:t>
      </w:r>
      <w:r w:rsidR="004C73DF">
        <w:rPr>
          <w:lang w:val="hr-HR"/>
        </w:rPr>
        <w:t>u</w:t>
      </w:r>
      <w:r w:rsidR="00EF539C">
        <w:rPr>
          <w:lang w:val="hr-HR"/>
        </w:rPr>
        <w:t xml:space="preserve"> </w:t>
      </w:r>
      <w:r w:rsidR="004C73DF">
        <w:rPr>
          <w:lang w:val="hr-HR"/>
        </w:rPr>
        <w:t>više</w:t>
      </w:r>
      <w:r w:rsidR="00EF539C">
        <w:rPr>
          <w:lang w:val="hr-HR"/>
        </w:rPr>
        <w:t xml:space="preserve"> </w:t>
      </w:r>
      <w:r w:rsidR="004C73DF">
        <w:rPr>
          <w:lang w:val="hr-HR"/>
        </w:rPr>
        <w:t xml:space="preserve">intervala </w:t>
      </w:r>
      <w:r w:rsidR="00EF539C">
        <w:rPr>
          <w:lang w:val="hr-HR"/>
        </w:rPr>
        <w:t xml:space="preserve">isporuke tokom dana i svejedno prelaziti potrebe subjekta za električnom energijom u trenutku isporuke. </w:t>
      </w:r>
    </w:p>
    <w:p w14:paraId="6AEC5CFD" w14:textId="77777777" w:rsidR="00C74DF5" w:rsidRDefault="00C74DF5" w:rsidP="00C74DF5">
      <w:pPr>
        <w:pStyle w:val="IASBSectionTitle4Ind"/>
        <w:spacing w:before="0" w:after="0"/>
        <w:rPr>
          <w:sz w:val="2"/>
          <w:szCs w:val="2"/>
          <w:lang w:val="hr-HR"/>
        </w:rPr>
      </w:pPr>
      <w:bookmarkStart w:id="41" w:name="unique_113"/>
    </w:p>
    <w:p w14:paraId="21BB547F" w14:textId="77777777" w:rsidR="00C74DF5" w:rsidRDefault="00C74DF5" w:rsidP="00C74DF5">
      <w:pPr>
        <w:pStyle w:val="IASBSectionTitle4Ind"/>
        <w:spacing w:before="0" w:after="0"/>
        <w:rPr>
          <w:sz w:val="2"/>
          <w:szCs w:val="2"/>
          <w:lang w:val="hr-HR"/>
        </w:rPr>
      </w:pPr>
    </w:p>
    <w:p w14:paraId="21A2CEE8" w14:textId="77777777" w:rsidR="00C74DF5" w:rsidRDefault="00C74DF5" w:rsidP="00C74DF5">
      <w:pPr>
        <w:pStyle w:val="IASBSectionTitle4Ind"/>
        <w:spacing w:before="0" w:after="0"/>
        <w:rPr>
          <w:sz w:val="2"/>
          <w:szCs w:val="2"/>
          <w:lang w:val="hr-HR"/>
        </w:rPr>
      </w:pPr>
    </w:p>
    <w:p w14:paraId="560425BD" w14:textId="77777777" w:rsidR="00C74DF5" w:rsidRDefault="00C74DF5" w:rsidP="00C74DF5">
      <w:pPr>
        <w:pStyle w:val="IASBSectionTitle4Ind"/>
        <w:spacing w:before="0" w:after="0"/>
        <w:rPr>
          <w:sz w:val="2"/>
          <w:szCs w:val="2"/>
          <w:lang w:val="hr-HR"/>
        </w:rPr>
      </w:pPr>
    </w:p>
    <w:p w14:paraId="4C53E4F6" w14:textId="77777777" w:rsidR="00C74DF5" w:rsidRDefault="00C74DF5" w:rsidP="00C74DF5">
      <w:pPr>
        <w:pStyle w:val="IASBSectionTitle4Ind"/>
        <w:spacing w:before="0" w:after="0"/>
        <w:rPr>
          <w:sz w:val="2"/>
          <w:szCs w:val="2"/>
          <w:lang w:val="hr-HR"/>
        </w:rPr>
      </w:pPr>
    </w:p>
    <w:p w14:paraId="5601C79D" w14:textId="77777777" w:rsidR="00C74DF5" w:rsidRDefault="00C74DF5" w:rsidP="00C74DF5">
      <w:pPr>
        <w:pStyle w:val="IASBSectionTitle4Ind"/>
        <w:spacing w:before="0" w:after="0"/>
        <w:rPr>
          <w:sz w:val="2"/>
          <w:szCs w:val="2"/>
          <w:lang w:val="hr-HR"/>
        </w:rPr>
      </w:pPr>
    </w:p>
    <w:p w14:paraId="321192B7" w14:textId="77777777" w:rsidR="00C74DF5" w:rsidRDefault="00C74DF5" w:rsidP="00C74DF5">
      <w:pPr>
        <w:pStyle w:val="IASBSectionTitle4Ind"/>
        <w:spacing w:before="0" w:after="0"/>
        <w:rPr>
          <w:sz w:val="2"/>
          <w:szCs w:val="2"/>
          <w:lang w:val="hr-HR"/>
        </w:rPr>
      </w:pPr>
    </w:p>
    <w:p w14:paraId="27D14130" w14:textId="77777777" w:rsidR="00C74DF5" w:rsidRDefault="00C74DF5" w:rsidP="00C74DF5">
      <w:pPr>
        <w:pStyle w:val="IASBSectionTitle4Ind"/>
        <w:spacing w:before="0" w:after="0"/>
        <w:rPr>
          <w:sz w:val="2"/>
          <w:szCs w:val="2"/>
          <w:lang w:val="hr-HR"/>
        </w:rPr>
      </w:pPr>
    </w:p>
    <w:p w14:paraId="2A7E3B23" w14:textId="77777777" w:rsidR="00C74DF5" w:rsidRDefault="00C74DF5" w:rsidP="00C74DF5">
      <w:pPr>
        <w:pStyle w:val="IASBSectionTitle4Ind"/>
        <w:spacing w:before="0" w:after="0"/>
        <w:rPr>
          <w:sz w:val="2"/>
          <w:szCs w:val="2"/>
          <w:lang w:val="hr-HR"/>
        </w:rPr>
      </w:pPr>
    </w:p>
    <w:p w14:paraId="3440A0A3" w14:textId="77777777" w:rsidR="00C74DF5" w:rsidRDefault="00C74DF5" w:rsidP="00C74DF5">
      <w:pPr>
        <w:pStyle w:val="IASBSectionTitle4Ind"/>
        <w:spacing w:before="0" w:after="0"/>
        <w:rPr>
          <w:sz w:val="2"/>
          <w:szCs w:val="2"/>
          <w:lang w:val="hr-HR"/>
        </w:rPr>
      </w:pPr>
    </w:p>
    <w:p w14:paraId="1CE4970E" w14:textId="77777777" w:rsidR="00C74DF5" w:rsidRDefault="00C74DF5" w:rsidP="00C74DF5">
      <w:pPr>
        <w:pStyle w:val="IASBSectionTitle4Ind"/>
        <w:spacing w:before="0" w:after="0"/>
        <w:rPr>
          <w:sz w:val="2"/>
          <w:szCs w:val="2"/>
          <w:lang w:val="hr-HR"/>
        </w:rPr>
      </w:pPr>
    </w:p>
    <w:p w14:paraId="3E1C0CD9" w14:textId="77777777" w:rsidR="00C74DF5" w:rsidRDefault="00C74DF5" w:rsidP="00C74DF5">
      <w:pPr>
        <w:pStyle w:val="IASBSectionTitle4Ind"/>
        <w:spacing w:before="0" w:after="0"/>
        <w:rPr>
          <w:sz w:val="2"/>
          <w:szCs w:val="2"/>
          <w:lang w:val="hr-HR"/>
        </w:rPr>
      </w:pPr>
    </w:p>
    <w:p w14:paraId="11758C69" w14:textId="0883A9F7" w:rsidR="00014FB0" w:rsidRDefault="0004102B" w:rsidP="00C74DF5">
      <w:pPr>
        <w:pStyle w:val="IASBSectionTitle4Ind"/>
        <w:spacing w:before="0" w:after="0"/>
        <w:rPr>
          <w:lang w:val="hr-HR"/>
        </w:rPr>
      </w:pPr>
      <w:r>
        <w:rPr>
          <w:lang w:val="hr-HR"/>
        </w:rPr>
        <w:t xml:space="preserve">Koncept i način funkcionisanja tržišta električnom energijom na kojem se </w:t>
      </w:r>
      <w:r w:rsidR="00294A3C">
        <w:rPr>
          <w:lang w:val="hr-HR"/>
        </w:rPr>
        <w:t xml:space="preserve">vrše transakcije </w:t>
      </w:r>
      <w:r>
        <w:rPr>
          <w:lang w:val="hr-HR"/>
        </w:rPr>
        <w:t xml:space="preserve">prema predmetnom ugovoru </w:t>
      </w:r>
      <w:bookmarkEnd w:id="41"/>
    </w:p>
    <w:p w14:paraId="20E207E7" w14:textId="77777777" w:rsidR="00C74DF5" w:rsidRPr="00C74DF5" w:rsidRDefault="00C74DF5" w:rsidP="00C74DF5">
      <w:pPr>
        <w:pStyle w:val="IASBSectionTitle4Ind"/>
        <w:spacing w:before="0" w:after="0"/>
        <w:rPr>
          <w:sz w:val="8"/>
          <w:szCs w:val="8"/>
          <w:lang w:val="hr-HR"/>
        </w:rPr>
      </w:pPr>
    </w:p>
    <w:p w14:paraId="659852D0" w14:textId="22AD2C70" w:rsidR="00014FB0" w:rsidRPr="00EF5D0A" w:rsidRDefault="00A92D4A" w:rsidP="00C74DF5">
      <w:pPr>
        <w:pStyle w:val="IASBNormalnpara"/>
        <w:spacing w:before="80"/>
        <w:rPr>
          <w:lang w:val="hr-HR"/>
        </w:rPr>
      </w:pPr>
      <w:r>
        <w:rPr>
          <w:lang w:val="hr-HR"/>
        </w:rPr>
        <w:t>OZ</w:t>
      </w:r>
      <w:r w:rsidR="001C3CBD" w:rsidRPr="00EF5D0A">
        <w:rPr>
          <w:lang w:val="hr-HR"/>
        </w:rPr>
        <w:t>2.18E</w:t>
      </w:r>
      <w:r w:rsidR="00EF539C">
        <w:rPr>
          <w:lang w:val="hr-HR"/>
        </w:rPr>
        <w:tab/>
        <w:t xml:space="preserve">Dionici su obavijestili </w:t>
      </w:r>
      <w:r w:rsidR="00EF539C" w:rsidRPr="00EF539C">
        <w:rPr>
          <w:i/>
          <w:iCs/>
          <w:lang w:val="hr-HR"/>
        </w:rPr>
        <w:t>IASB</w:t>
      </w:r>
      <w:r w:rsidR="00EF539C">
        <w:rPr>
          <w:lang w:val="hr-HR"/>
        </w:rPr>
        <w:t xml:space="preserve"> da subjekti neutrošenu električnu energiju prodaju ne samo zbog obilježja ugovora već i zbog samog načina na koji je koncip</w:t>
      </w:r>
      <w:r w:rsidR="00294A3C">
        <w:rPr>
          <w:lang w:val="hr-HR"/>
        </w:rPr>
        <w:t>i</w:t>
      </w:r>
      <w:r w:rsidR="00EF539C">
        <w:rPr>
          <w:lang w:val="hr-HR"/>
        </w:rPr>
        <w:t xml:space="preserve">rano i na koji funkcioniše tržište električnom energijom. Određena tržišta električnom energijom će bilo </w:t>
      </w:r>
      <w:r w:rsidR="00294A3C">
        <w:rPr>
          <w:lang w:val="hr-HR"/>
        </w:rPr>
        <w:t>primorati</w:t>
      </w:r>
      <w:r w:rsidR="00EF539C">
        <w:rPr>
          <w:lang w:val="hr-HR"/>
        </w:rPr>
        <w:t xml:space="preserve"> subjekt na prodaju neutrošene električne energije nazad na da</w:t>
      </w:r>
      <w:r w:rsidR="00294A3C">
        <w:rPr>
          <w:lang w:val="hr-HR"/>
        </w:rPr>
        <w:t>t</w:t>
      </w:r>
      <w:r w:rsidR="00EF539C">
        <w:rPr>
          <w:lang w:val="hr-HR"/>
        </w:rPr>
        <w:t>o tržište ili, primjera radi, diktirati da</w:t>
      </w:r>
      <w:r w:rsidR="00294A3C">
        <w:rPr>
          <w:lang w:val="hr-HR"/>
        </w:rPr>
        <w:t xml:space="preserve"> mu</w:t>
      </w:r>
      <w:r w:rsidR="00EF539C">
        <w:rPr>
          <w:lang w:val="hr-HR"/>
        </w:rPr>
        <w:t xml:space="preserve">, ukoliko subjekt ne uspije prodati takvu električnu energiju, nezavisni operater tržišnog sistema ima pravo izreći novčane </w:t>
      </w:r>
      <w:r w:rsidR="001C3CBD" w:rsidRPr="00EF5D0A">
        <w:rPr>
          <w:lang w:val="hr-HR"/>
        </w:rPr>
        <w:t>(</w:t>
      </w:r>
      <w:r w:rsidR="00EF539C">
        <w:rPr>
          <w:lang w:val="hr-HR"/>
        </w:rPr>
        <w:t>ponekad kaznene</w:t>
      </w:r>
      <w:r w:rsidR="001C3CBD" w:rsidRPr="00EF5D0A">
        <w:rPr>
          <w:lang w:val="hr-HR"/>
        </w:rPr>
        <w:t xml:space="preserve">) </w:t>
      </w:r>
      <w:r w:rsidR="00EF539C">
        <w:rPr>
          <w:lang w:val="hr-HR"/>
        </w:rPr>
        <w:t xml:space="preserve">penale kako bi se „održala ravnoteža“ na elektrodistribucijskoj mreži. Tržišta električnom energijom funkcionišu na </w:t>
      </w:r>
      <w:r w:rsidR="00294A3C">
        <w:rPr>
          <w:lang w:val="hr-HR"/>
        </w:rPr>
        <w:t>opisani</w:t>
      </w:r>
      <w:r w:rsidR="00EF539C">
        <w:rPr>
          <w:lang w:val="hr-HR"/>
        </w:rPr>
        <w:t xml:space="preserve"> način jer balansiraju količine električne energije koj</w:t>
      </w:r>
      <w:r w:rsidR="00294A3C">
        <w:rPr>
          <w:lang w:val="hr-HR"/>
        </w:rPr>
        <w:t>e</w:t>
      </w:r>
      <w:r w:rsidR="00EF539C">
        <w:rPr>
          <w:lang w:val="hr-HR"/>
        </w:rPr>
        <w:t xml:space="preserve"> se proizved</w:t>
      </w:r>
      <w:r w:rsidR="00294A3C">
        <w:rPr>
          <w:lang w:val="hr-HR"/>
        </w:rPr>
        <w:t>u</w:t>
      </w:r>
      <w:r w:rsidR="00EF539C">
        <w:rPr>
          <w:lang w:val="hr-HR"/>
        </w:rPr>
        <w:t xml:space="preserve"> sa količinama koj</w:t>
      </w:r>
      <w:r w:rsidR="00294A3C">
        <w:rPr>
          <w:lang w:val="hr-HR"/>
        </w:rPr>
        <w:t>e</w:t>
      </w:r>
      <w:r w:rsidR="00EF539C">
        <w:rPr>
          <w:lang w:val="hr-HR"/>
        </w:rPr>
        <w:t xml:space="preserve"> se utroš</w:t>
      </w:r>
      <w:r w:rsidR="00294A3C">
        <w:rPr>
          <w:lang w:val="hr-HR"/>
        </w:rPr>
        <w:t>e</w:t>
      </w:r>
      <w:r w:rsidR="00EF539C">
        <w:rPr>
          <w:lang w:val="hr-HR"/>
        </w:rPr>
        <w:t xml:space="preserve">. Električnu energiju nije lako pohraniti pa svaki disbalans može voditi prekidima u napajanju ili nedovoljnim količinama za redovno napajanje električnom energijom. </w:t>
      </w:r>
      <w:r w:rsidR="001C3CBD" w:rsidRPr="00EF539C">
        <w:rPr>
          <w:i/>
          <w:iCs/>
          <w:lang w:val="hr-HR"/>
        </w:rPr>
        <w:t>IASB</w:t>
      </w:r>
      <w:r w:rsidR="001C3CBD" w:rsidRPr="00EF5D0A">
        <w:rPr>
          <w:lang w:val="hr-HR"/>
        </w:rPr>
        <w:t xml:space="preserve"> </w:t>
      </w:r>
      <w:r w:rsidR="00EF539C">
        <w:rPr>
          <w:lang w:val="hr-HR"/>
        </w:rPr>
        <w:t xml:space="preserve">je zaključio da, </w:t>
      </w:r>
      <w:r w:rsidR="00294A3C">
        <w:rPr>
          <w:lang w:val="hr-HR"/>
        </w:rPr>
        <w:t xml:space="preserve">kako </w:t>
      </w:r>
      <w:r w:rsidR="00EF539C">
        <w:rPr>
          <w:lang w:val="hr-HR"/>
        </w:rPr>
        <w:t xml:space="preserve">bi </w:t>
      </w:r>
      <w:r w:rsidR="00294A3C">
        <w:rPr>
          <w:lang w:val="hr-HR"/>
        </w:rPr>
        <w:t xml:space="preserve">se </w:t>
      </w:r>
      <w:r w:rsidR="00EF539C">
        <w:rPr>
          <w:lang w:val="hr-HR"/>
        </w:rPr>
        <w:t xml:space="preserve">moglo smatrati da je prodaja i dalje u skladu s očekivanim potrebama subjekta za električnom energijom, </w:t>
      </w:r>
      <w:r w:rsidR="00294A3C">
        <w:rPr>
          <w:lang w:val="hr-HR"/>
        </w:rPr>
        <w:t>tržište na koje se električna energija isporučuje i potom na njemu prodaje mora biti koncipirano</w:t>
      </w:r>
      <w:r w:rsidR="00EF539C">
        <w:rPr>
          <w:lang w:val="hr-HR"/>
        </w:rPr>
        <w:t xml:space="preserve"> i njime </w:t>
      </w:r>
      <w:r w:rsidR="00294A3C">
        <w:rPr>
          <w:lang w:val="hr-HR"/>
        </w:rPr>
        <w:t xml:space="preserve">se </w:t>
      </w:r>
      <w:r w:rsidR="00EF539C">
        <w:rPr>
          <w:lang w:val="hr-HR"/>
        </w:rPr>
        <w:t>upravlj</w:t>
      </w:r>
      <w:r w:rsidR="00294A3C">
        <w:rPr>
          <w:lang w:val="hr-HR"/>
        </w:rPr>
        <w:t>ati</w:t>
      </w:r>
      <w:r w:rsidR="00EF539C">
        <w:rPr>
          <w:lang w:val="hr-HR"/>
        </w:rPr>
        <w:t xml:space="preserve"> </w:t>
      </w:r>
      <w:r w:rsidR="00163FA1">
        <w:rPr>
          <w:lang w:val="hr-HR"/>
        </w:rPr>
        <w:t xml:space="preserve">tako da subjekt nema praktične mogućnosti izbjeći prodaju neutrošene električne energije. Ukoliko </w:t>
      </w:r>
      <w:r w:rsidR="00294A3C">
        <w:rPr>
          <w:lang w:val="hr-HR"/>
        </w:rPr>
        <w:t xml:space="preserve">sam koncept </w:t>
      </w:r>
      <w:r w:rsidR="00163FA1">
        <w:rPr>
          <w:lang w:val="hr-HR"/>
        </w:rPr>
        <w:t>tržišt</w:t>
      </w:r>
      <w:r w:rsidR="00294A3C">
        <w:rPr>
          <w:lang w:val="hr-HR"/>
        </w:rPr>
        <w:t>a</w:t>
      </w:r>
      <w:r w:rsidR="00163FA1">
        <w:rPr>
          <w:lang w:val="hr-HR"/>
        </w:rPr>
        <w:t xml:space="preserve"> subjekt</w:t>
      </w:r>
      <w:r w:rsidR="00294A3C">
        <w:rPr>
          <w:lang w:val="hr-HR"/>
        </w:rPr>
        <w:t xml:space="preserve">u </w:t>
      </w:r>
      <w:r w:rsidR="00163FA1">
        <w:rPr>
          <w:lang w:val="hr-HR"/>
        </w:rPr>
        <w:t>nudi i druga moguća rješenja pored prodaje neutrošene električne energije, poput toga da je pohrani u dostupne namjenske kapacitete, t</w:t>
      </w:r>
      <w:r w:rsidR="00294A3C">
        <w:rPr>
          <w:lang w:val="hr-HR"/>
        </w:rPr>
        <w:t>akav subjekt</w:t>
      </w:r>
      <w:r w:rsidR="00163FA1">
        <w:rPr>
          <w:lang w:val="hr-HR"/>
        </w:rPr>
        <w:t xml:space="preserve"> nema pravo koristiti dodatna razmatranja iz tačke </w:t>
      </w:r>
      <w:r w:rsidR="001C3CBD" w:rsidRPr="00EF5D0A">
        <w:rPr>
          <w:lang w:val="hr-HR"/>
        </w:rPr>
        <w:t xml:space="preserve">B2.7 </w:t>
      </w:r>
      <w:r w:rsidR="00163FA1">
        <w:rPr>
          <w:lang w:val="hr-HR"/>
        </w:rPr>
        <w:t>MSFI-ja</w:t>
      </w:r>
      <w:r w:rsidR="001C3CBD" w:rsidRPr="00EF5D0A">
        <w:rPr>
          <w:lang w:val="hr-HR"/>
        </w:rPr>
        <w:t xml:space="preserve"> 9. </w:t>
      </w:r>
      <w:r w:rsidR="00163FA1">
        <w:rPr>
          <w:lang w:val="hr-HR"/>
        </w:rPr>
        <w:t>On bi primjenjiva</w:t>
      </w:r>
      <w:r w:rsidR="00294A3C">
        <w:rPr>
          <w:lang w:val="hr-HR"/>
        </w:rPr>
        <w:t>o</w:t>
      </w:r>
      <w:r w:rsidR="00163FA1">
        <w:rPr>
          <w:lang w:val="hr-HR"/>
        </w:rPr>
        <w:t xml:space="preserve"> samo zahtjeve iz tačke </w:t>
      </w:r>
      <w:r w:rsidR="001C3CBD" w:rsidRPr="00EF5D0A">
        <w:rPr>
          <w:lang w:val="hr-HR"/>
        </w:rPr>
        <w:t xml:space="preserve">2.4 </w:t>
      </w:r>
      <w:r w:rsidR="00163FA1">
        <w:rPr>
          <w:lang w:val="hr-HR"/>
        </w:rPr>
        <w:t>MSFI-ja</w:t>
      </w:r>
      <w:r w:rsidR="001C3CBD" w:rsidRPr="00EF5D0A">
        <w:rPr>
          <w:lang w:val="hr-HR"/>
        </w:rPr>
        <w:t xml:space="preserve"> 9 </w:t>
      </w:r>
      <w:r w:rsidR="00163FA1">
        <w:rPr>
          <w:lang w:val="hr-HR"/>
        </w:rPr>
        <w:t>jer su ti zahtjevi dovoljni da odred</w:t>
      </w:r>
      <w:r w:rsidR="00294A3C">
        <w:rPr>
          <w:lang w:val="hr-HR"/>
        </w:rPr>
        <w:t xml:space="preserve">i </w:t>
      </w:r>
      <w:r w:rsidR="00163FA1">
        <w:rPr>
          <w:lang w:val="hr-HR"/>
        </w:rPr>
        <w:t xml:space="preserve">odgovarajući način obračunavanja. </w:t>
      </w:r>
    </w:p>
    <w:p w14:paraId="1FADD805" w14:textId="0A21FB29" w:rsidR="00014FB0" w:rsidRPr="00EF5D0A" w:rsidRDefault="00A92D4A" w:rsidP="00C74DF5">
      <w:pPr>
        <w:pStyle w:val="IASBNormalnpara"/>
        <w:spacing w:before="80"/>
        <w:rPr>
          <w:lang w:val="hr-HR"/>
        </w:rPr>
      </w:pPr>
      <w:r>
        <w:rPr>
          <w:lang w:val="hr-HR"/>
        </w:rPr>
        <w:t>OZ</w:t>
      </w:r>
      <w:r w:rsidR="001C3CBD" w:rsidRPr="00EF5D0A">
        <w:rPr>
          <w:lang w:val="hr-HR"/>
        </w:rPr>
        <w:t>2.18F</w:t>
      </w:r>
      <w:r w:rsidR="001C3CBD" w:rsidRPr="00EF5D0A">
        <w:rPr>
          <w:lang w:val="hr-HR"/>
        </w:rPr>
        <w:tab/>
      </w:r>
      <w:r w:rsidR="001C3CBD" w:rsidRPr="00081AF5">
        <w:rPr>
          <w:i/>
          <w:iCs/>
          <w:lang w:val="hr-HR"/>
        </w:rPr>
        <w:t>IASB</w:t>
      </w:r>
      <w:r w:rsidR="001C3CBD" w:rsidRPr="00EF5D0A">
        <w:rPr>
          <w:lang w:val="hr-HR"/>
        </w:rPr>
        <w:t xml:space="preserve"> </w:t>
      </w:r>
      <w:r w:rsidR="00081AF5">
        <w:rPr>
          <w:lang w:val="hr-HR"/>
        </w:rPr>
        <w:t>je od</w:t>
      </w:r>
      <w:r w:rsidR="00C74DF5">
        <w:rPr>
          <w:lang w:val="hr-HR"/>
        </w:rPr>
        <w:t xml:space="preserve">lučio </w:t>
      </w:r>
      <w:r w:rsidR="00081AF5">
        <w:rPr>
          <w:lang w:val="hr-HR"/>
        </w:rPr>
        <w:t xml:space="preserve">da, </w:t>
      </w:r>
      <w:r w:rsidR="00C74DF5">
        <w:rPr>
          <w:lang w:val="hr-HR"/>
        </w:rPr>
        <w:t>kako</w:t>
      </w:r>
      <w:r w:rsidR="00081AF5">
        <w:rPr>
          <w:lang w:val="hr-HR"/>
        </w:rPr>
        <w:t xml:space="preserve"> bi se smatralo da subjekat nema praktične mogućnosti </w:t>
      </w:r>
      <w:r w:rsidR="00C74DF5">
        <w:rPr>
          <w:lang w:val="hr-HR"/>
        </w:rPr>
        <w:t xml:space="preserve">izbjeći </w:t>
      </w:r>
      <w:r w:rsidR="00081AF5">
        <w:rPr>
          <w:lang w:val="hr-HR"/>
        </w:rPr>
        <w:t xml:space="preserve">prodaju neutrošene električne energije, on mora biti „na milosti i nemilosti“ tržišta u smislu toga </w:t>
      </w:r>
      <w:r w:rsidR="00081AF5">
        <w:rPr>
          <w:i/>
          <w:lang w:val="hr-HR"/>
        </w:rPr>
        <w:t>kada</w:t>
      </w:r>
      <w:r w:rsidR="001C3CBD" w:rsidRPr="00EF5D0A">
        <w:rPr>
          <w:lang w:val="hr-HR"/>
        </w:rPr>
        <w:t xml:space="preserve"> </w:t>
      </w:r>
      <w:r w:rsidR="00C74DF5">
        <w:rPr>
          <w:lang w:val="hr-HR"/>
        </w:rPr>
        <w:t xml:space="preserve">se </w:t>
      </w:r>
      <w:r w:rsidR="00081AF5">
        <w:rPr>
          <w:lang w:val="hr-HR"/>
        </w:rPr>
        <w:t>prodaje neutrošen</w:t>
      </w:r>
      <w:r w:rsidR="00C74DF5">
        <w:rPr>
          <w:lang w:val="hr-HR"/>
        </w:rPr>
        <w:t>a</w:t>
      </w:r>
      <w:r w:rsidR="00081AF5">
        <w:rPr>
          <w:lang w:val="hr-HR"/>
        </w:rPr>
        <w:t xml:space="preserve"> električn</w:t>
      </w:r>
      <w:r w:rsidR="00C74DF5">
        <w:rPr>
          <w:lang w:val="hr-HR"/>
        </w:rPr>
        <w:t>a</w:t>
      </w:r>
      <w:r w:rsidR="00081AF5">
        <w:rPr>
          <w:lang w:val="hr-HR"/>
        </w:rPr>
        <w:t xml:space="preserve"> energij</w:t>
      </w:r>
      <w:r w:rsidR="00C74DF5">
        <w:rPr>
          <w:lang w:val="hr-HR"/>
        </w:rPr>
        <w:t>a</w:t>
      </w:r>
      <w:r w:rsidR="00081AF5">
        <w:rPr>
          <w:lang w:val="hr-HR"/>
        </w:rPr>
        <w:t>. Svak</w:t>
      </w:r>
      <w:r w:rsidR="00C74DF5">
        <w:rPr>
          <w:lang w:val="hr-HR"/>
        </w:rPr>
        <w:t xml:space="preserve">o postupanje </w:t>
      </w:r>
      <w:r w:rsidR="00081AF5">
        <w:rPr>
          <w:lang w:val="hr-HR"/>
        </w:rPr>
        <w:t>svojstven</w:t>
      </w:r>
      <w:r w:rsidR="00C74DF5">
        <w:rPr>
          <w:lang w:val="hr-HR"/>
        </w:rPr>
        <w:t>o</w:t>
      </w:r>
      <w:r w:rsidR="00081AF5">
        <w:rPr>
          <w:lang w:val="hr-HR"/>
        </w:rPr>
        <w:t xml:space="preserve"> da</w:t>
      </w:r>
      <w:r w:rsidR="00C74DF5">
        <w:rPr>
          <w:lang w:val="hr-HR"/>
        </w:rPr>
        <w:t xml:space="preserve">tom </w:t>
      </w:r>
      <w:r w:rsidR="00081AF5">
        <w:rPr>
          <w:lang w:val="hr-HR"/>
        </w:rPr>
        <w:t>subjektu (poput pohranjivanja električne energije) koj</w:t>
      </w:r>
      <w:r w:rsidR="00C74DF5">
        <w:rPr>
          <w:lang w:val="hr-HR"/>
        </w:rPr>
        <w:t>e</w:t>
      </w:r>
      <w:r w:rsidR="00081AF5">
        <w:rPr>
          <w:lang w:val="hr-HR"/>
        </w:rPr>
        <w:t xml:space="preserve"> mu pruža praktičnu mogućnost da izbjegne prodaju ili odredi kada je izvršiti znači da prodaja nije bila obavezna na osnovu toga kako je samo tržište koncipirano. U skladu s tim, </w:t>
      </w:r>
      <w:r w:rsidR="001C3CBD" w:rsidRPr="00081AF5">
        <w:rPr>
          <w:i/>
          <w:iCs/>
          <w:lang w:val="hr-HR"/>
        </w:rPr>
        <w:t>IASB</w:t>
      </w:r>
      <w:r w:rsidR="001C3CBD" w:rsidRPr="00EF5D0A">
        <w:rPr>
          <w:lang w:val="hr-HR"/>
        </w:rPr>
        <w:t xml:space="preserve"> </w:t>
      </w:r>
      <w:r w:rsidR="00081AF5">
        <w:rPr>
          <w:lang w:val="hr-HR"/>
        </w:rPr>
        <w:t xml:space="preserve">je zaključio da </w:t>
      </w:r>
      <w:r w:rsidR="00851278">
        <w:rPr>
          <w:lang w:val="hr-HR"/>
        </w:rPr>
        <w:t xml:space="preserve">je termin prodaje faktor koji se smatra bitnim kod procjene koncepta tržišta. Konstatovali su da </w:t>
      </w:r>
      <w:r w:rsidR="00C74DF5">
        <w:rPr>
          <w:lang w:val="hr-HR"/>
        </w:rPr>
        <w:t xml:space="preserve">svojom </w:t>
      </w:r>
      <w:r w:rsidR="00851278">
        <w:rPr>
          <w:lang w:val="hr-HR"/>
        </w:rPr>
        <w:t>odlukom omogućava</w:t>
      </w:r>
      <w:r w:rsidR="00C74DF5">
        <w:rPr>
          <w:lang w:val="hr-HR"/>
        </w:rPr>
        <w:t>ju</w:t>
      </w:r>
      <w:r w:rsidR="00851278">
        <w:rPr>
          <w:lang w:val="hr-HR"/>
        </w:rPr>
        <w:t xml:space="preserve"> da se zahtjevima </w:t>
      </w:r>
      <w:r w:rsidR="00C74DF5">
        <w:rPr>
          <w:lang w:val="hr-HR"/>
        </w:rPr>
        <w:t>dopuste</w:t>
      </w:r>
      <w:r w:rsidR="00851278">
        <w:rPr>
          <w:lang w:val="hr-HR"/>
        </w:rPr>
        <w:t xml:space="preserve"> različiti tipovi koncepata ili načina funkcioni</w:t>
      </w:r>
      <w:r w:rsidR="00C74DF5">
        <w:rPr>
          <w:lang w:val="hr-HR"/>
        </w:rPr>
        <w:t>s</w:t>
      </w:r>
      <w:r w:rsidR="00851278">
        <w:rPr>
          <w:lang w:val="hr-HR"/>
        </w:rPr>
        <w:t>anja tržišta a, pri tome,</w:t>
      </w:r>
      <w:r w:rsidR="00C74DF5">
        <w:rPr>
          <w:lang w:val="hr-HR"/>
        </w:rPr>
        <w:t xml:space="preserve"> ipak</w:t>
      </w:r>
      <w:r w:rsidR="00851278">
        <w:rPr>
          <w:lang w:val="hr-HR"/>
        </w:rPr>
        <w:t xml:space="preserve"> očuva osnovno načelo. </w:t>
      </w:r>
    </w:p>
    <w:p w14:paraId="6B450537" w14:textId="4AAEB944" w:rsidR="00014FB0" w:rsidRPr="00EF5D0A" w:rsidRDefault="00081AF5">
      <w:pPr>
        <w:pStyle w:val="IASBSectionTitle4Ind"/>
        <w:rPr>
          <w:lang w:val="hr-HR"/>
        </w:rPr>
      </w:pPr>
      <w:bookmarkStart w:id="42" w:name="unique_114"/>
      <w:r>
        <w:rPr>
          <w:lang w:val="hr-HR"/>
        </w:rPr>
        <w:lastRenderedPageBreak/>
        <w:t xml:space="preserve">Procjena da li je subjekt neto kupac </w:t>
      </w:r>
      <w:bookmarkEnd w:id="42"/>
    </w:p>
    <w:p w14:paraId="51E6012C" w14:textId="01D37F8D" w:rsidR="00014FB0" w:rsidRPr="00EF5D0A" w:rsidRDefault="00A92D4A" w:rsidP="00E13604">
      <w:pPr>
        <w:pStyle w:val="IASBNormalnpara"/>
        <w:rPr>
          <w:lang w:val="hr-HR"/>
        </w:rPr>
      </w:pPr>
      <w:r>
        <w:rPr>
          <w:lang w:val="hr-HR"/>
        </w:rPr>
        <w:t>OZ</w:t>
      </w:r>
      <w:r w:rsidR="001C3CBD" w:rsidRPr="00EF5D0A">
        <w:rPr>
          <w:lang w:val="hr-HR"/>
        </w:rPr>
        <w:t>2.18G</w:t>
      </w:r>
      <w:r w:rsidR="001C3CBD" w:rsidRPr="00EF5D0A">
        <w:rPr>
          <w:lang w:val="hr-HR"/>
        </w:rPr>
        <w:tab/>
      </w:r>
      <w:r w:rsidR="002A215A">
        <w:rPr>
          <w:lang w:val="hr-HR"/>
        </w:rPr>
        <w:t>Kako bi osigural</w:t>
      </w:r>
      <w:r w:rsidR="00722288">
        <w:rPr>
          <w:lang w:val="hr-HR"/>
        </w:rPr>
        <w:t>i</w:t>
      </w:r>
      <w:r w:rsidR="002A215A">
        <w:rPr>
          <w:lang w:val="hr-HR"/>
        </w:rPr>
        <w:t xml:space="preserve"> da </w:t>
      </w:r>
      <w:r w:rsidR="00722288">
        <w:rPr>
          <w:lang w:val="hr-HR"/>
        </w:rPr>
        <w:t xml:space="preserve">izmjene i dopune poštuju osnovno načelo </w:t>
      </w:r>
      <w:r w:rsidR="00BB44BD">
        <w:rPr>
          <w:lang w:val="hr-HR"/>
        </w:rPr>
        <w:t>na kojem se zasniva</w:t>
      </w:r>
      <w:r w:rsidR="00722288">
        <w:rPr>
          <w:lang w:val="hr-HR"/>
        </w:rPr>
        <w:t xml:space="preserve"> izuzeć</w:t>
      </w:r>
      <w:r w:rsidR="00BB44BD">
        <w:rPr>
          <w:lang w:val="hr-HR"/>
        </w:rPr>
        <w:t>e</w:t>
      </w:r>
      <w:r w:rsidR="00722288">
        <w:rPr>
          <w:lang w:val="hr-HR"/>
        </w:rPr>
        <w:t xml:space="preserve"> za vlastite potrebe, smanjili rizik da subjekti strukturi</w:t>
      </w:r>
      <w:r w:rsidR="00BB44BD">
        <w:rPr>
          <w:lang w:val="hr-HR"/>
        </w:rPr>
        <w:t>šu</w:t>
      </w:r>
      <w:r w:rsidR="00722288">
        <w:rPr>
          <w:lang w:val="hr-HR"/>
        </w:rPr>
        <w:t xml:space="preserve"> transakcije ili ugovore i unijeli odgovarajuć</w:t>
      </w:r>
      <w:r w:rsidR="00BB44BD">
        <w:rPr>
          <w:lang w:val="hr-HR"/>
        </w:rPr>
        <w:t>u</w:t>
      </w:r>
      <w:r w:rsidR="00722288">
        <w:rPr>
          <w:lang w:val="hr-HR"/>
        </w:rPr>
        <w:t xml:space="preserve"> strogoć</w:t>
      </w:r>
      <w:r w:rsidR="00BB44BD">
        <w:rPr>
          <w:lang w:val="hr-HR"/>
        </w:rPr>
        <w:t>u</w:t>
      </w:r>
      <w:r w:rsidR="00722288">
        <w:rPr>
          <w:lang w:val="hr-HR"/>
        </w:rPr>
        <w:t xml:space="preserve"> u izmjene i dopune, </w:t>
      </w:r>
      <w:r w:rsidR="001C3CBD" w:rsidRPr="00722288">
        <w:rPr>
          <w:i/>
          <w:iCs/>
          <w:lang w:val="hr-HR"/>
        </w:rPr>
        <w:t xml:space="preserve">IASB </w:t>
      </w:r>
      <w:r w:rsidR="00722288">
        <w:rPr>
          <w:lang w:val="hr-HR"/>
        </w:rPr>
        <w:t xml:space="preserve">se odlučio zahtijevati da </w:t>
      </w:r>
      <w:r w:rsidR="00A67E98">
        <w:rPr>
          <w:lang w:val="hr-HR"/>
        </w:rPr>
        <w:t xml:space="preserve">je </w:t>
      </w:r>
      <w:r w:rsidR="00722288">
        <w:rPr>
          <w:lang w:val="hr-HR"/>
        </w:rPr>
        <w:t>subjekt bio i da očekuje da će u razumnom periodu nastaviti biti neto kupac električne energije. Utvrdili su da se za subjekt smatra da je neto kupac ako nabavlja količine električne energije koje su dovoljne da se</w:t>
      </w:r>
      <w:r w:rsidR="00A67E98">
        <w:rPr>
          <w:lang w:val="hr-HR"/>
        </w:rPr>
        <w:t xml:space="preserve"> poravna </w:t>
      </w:r>
      <w:r w:rsidR="00722288">
        <w:rPr>
          <w:lang w:val="hr-HR"/>
        </w:rPr>
        <w:t xml:space="preserve">prodaja </w:t>
      </w:r>
      <w:r w:rsidR="00A67E98">
        <w:rPr>
          <w:lang w:val="hr-HR"/>
        </w:rPr>
        <w:t xml:space="preserve">sve </w:t>
      </w:r>
      <w:r w:rsidR="00722288">
        <w:rPr>
          <w:lang w:val="hr-HR"/>
        </w:rPr>
        <w:t>neutrošene električne energije. Da bi zadovoljio uslov</w:t>
      </w:r>
      <w:r w:rsidR="00A67E98">
        <w:rPr>
          <w:lang w:val="hr-HR"/>
        </w:rPr>
        <w:t>e</w:t>
      </w:r>
      <w:r w:rsidR="00722288">
        <w:rPr>
          <w:lang w:val="hr-HR"/>
        </w:rPr>
        <w:t xml:space="preserve"> da bude neto kupac, subjekt mora očekivati da ima dovoljno </w:t>
      </w:r>
      <w:r w:rsidR="00A67E98">
        <w:rPr>
          <w:lang w:val="hr-HR"/>
        </w:rPr>
        <w:t>prostora</w:t>
      </w:r>
      <w:r w:rsidR="001C3CBD" w:rsidRPr="00EF5D0A">
        <w:rPr>
          <w:lang w:val="hr-HR"/>
        </w:rPr>
        <w:t xml:space="preserve"> </w:t>
      </w:r>
      <w:r w:rsidR="00722288">
        <w:rPr>
          <w:lang w:val="hr-HR"/>
        </w:rPr>
        <w:t xml:space="preserve">u svojoj ukupnoj potražnji da </w:t>
      </w:r>
      <w:r w:rsidR="00A67E98">
        <w:rPr>
          <w:lang w:val="hr-HR"/>
        </w:rPr>
        <w:t>se očekivanim nabavkama</w:t>
      </w:r>
      <w:r w:rsidR="00722288">
        <w:rPr>
          <w:lang w:val="hr-HR"/>
        </w:rPr>
        <w:t xml:space="preserve"> </w:t>
      </w:r>
      <w:r w:rsidR="00A67E98">
        <w:rPr>
          <w:lang w:val="hr-HR"/>
        </w:rPr>
        <w:t xml:space="preserve">poravna </w:t>
      </w:r>
      <w:r w:rsidR="00722288">
        <w:rPr>
          <w:lang w:val="hr-HR"/>
        </w:rPr>
        <w:t>prodaj</w:t>
      </w:r>
      <w:r w:rsidR="00A67E98">
        <w:rPr>
          <w:lang w:val="hr-HR"/>
        </w:rPr>
        <w:t>a</w:t>
      </w:r>
      <w:r w:rsidR="00722288">
        <w:rPr>
          <w:lang w:val="hr-HR"/>
        </w:rPr>
        <w:t xml:space="preserve"> </w:t>
      </w:r>
      <w:r w:rsidR="00A67E98">
        <w:rPr>
          <w:lang w:val="hr-HR"/>
        </w:rPr>
        <w:t xml:space="preserve">sve </w:t>
      </w:r>
      <w:r w:rsidR="00722288">
        <w:rPr>
          <w:lang w:val="hr-HR"/>
        </w:rPr>
        <w:t>neutrošene električne energije koja se isporuči prema ugovoru.</w:t>
      </w:r>
    </w:p>
    <w:p w14:paraId="2F7AC7D9" w14:textId="28A9093C" w:rsidR="00A67E98" w:rsidRPr="00EF5D0A" w:rsidRDefault="00A92D4A" w:rsidP="00544FA3">
      <w:pPr>
        <w:pStyle w:val="IASBNormalnpara"/>
        <w:rPr>
          <w:lang w:val="hr-HR"/>
        </w:rPr>
      </w:pPr>
      <w:r>
        <w:rPr>
          <w:lang w:val="hr-HR"/>
        </w:rPr>
        <w:t>OZ</w:t>
      </w:r>
      <w:r w:rsidR="001C3CBD" w:rsidRPr="00EF5D0A">
        <w:rPr>
          <w:lang w:val="hr-HR"/>
        </w:rPr>
        <w:t>2.18H</w:t>
      </w:r>
      <w:r w:rsidR="001C3CBD" w:rsidRPr="00EF5D0A">
        <w:rPr>
          <w:lang w:val="hr-HR"/>
        </w:rPr>
        <w:tab/>
      </w:r>
      <w:r w:rsidR="001C3CBD" w:rsidRPr="00722288">
        <w:rPr>
          <w:i/>
          <w:iCs/>
          <w:lang w:val="hr-HR"/>
        </w:rPr>
        <w:t>IASB</w:t>
      </w:r>
      <w:r w:rsidR="001C3CBD" w:rsidRPr="00EF5D0A">
        <w:rPr>
          <w:lang w:val="hr-HR"/>
        </w:rPr>
        <w:t xml:space="preserve"> </w:t>
      </w:r>
      <w:r w:rsidR="00722288">
        <w:rPr>
          <w:lang w:val="hr-HR"/>
        </w:rPr>
        <w:t xml:space="preserve">je </w:t>
      </w:r>
      <w:r w:rsidR="00A67E98">
        <w:rPr>
          <w:lang w:val="hr-HR"/>
        </w:rPr>
        <w:t>zahtjev u pogledu</w:t>
      </w:r>
      <w:r w:rsidR="00722288">
        <w:rPr>
          <w:lang w:val="hr-HR"/>
        </w:rPr>
        <w:t xml:space="preserve"> „razumn</w:t>
      </w:r>
      <w:r w:rsidR="00A67E98">
        <w:rPr>
          <w:lang w:val="hr-HR"/>
        </w:rPr>
        <w:t>og</w:t>
      </w:r>
      <w:r w:rsidR="00722288">
        <w:rPr>
          <w:lang w:val="hr-HR"/>
        </w:rPr>
        <w:t xml:space="preserve"> period</w:t>
      </w:r>
      <w:r w:rsidR="00A67E98">
        <w:rPr>
          <w:lang w:val="hr-HR"/>
        </w:rPr>
        <w:t>a</w:t>
      </w:r>
      <w:r w:rsidR="00722288">
        <w:rPr>
          <w:lang w:val="hr-HR"/>
        </w:rPr>
        <w:t xml:space="preserve">“ uvrstio kako bi osigurali da subjekti koji prodaju neutrošenu električnu energiju u solidnom roku nabave najmanje jednaku </w:t>
      </w:r>
      <w:r w:rsidR="00A67E98">
        <w:rPr>
          <w:lang w:val="hr-HR"/>
        </w:rPr>
        <w:t>vrijednost</w:t>
      </w:r>
      <w:r w:rsidR="00722288">
        <w:rPr>
          <w:lang w:val="hr-HR"/>
        </w:rPr>
        <w:t xml:space="preserve"> iste. Namjera </w:t>
      </w:r>
      <w:r w:rsidR="001C3CBD" w:rsidRPr="00722288">
        <w:rPr>
          <w:i/>
          <w:iCs/>
          <w:lang w:val="hr-HR"/>
        </w:rPr>
        <w:t>IASB</w:t>
      </w:r>
      <w:r w:rsidR="00722288">
        <w:rPr>
          <w:lang w:val="hr-HR"/>
        </w:rPr>
        <w:t>-a je da „razumni period“ u pravilu bude kr</w:t>
      </w:r>
      <w:r w:rsidR="00544FA3">
        <w:rPr>
          <w:lang w:val="hr-HR"/>
        </w:rPr>
        <w:t>atak</w:t>
      </w:r>
      <w:r w:rsidR="00722288">
        <w:rPr>
          <w:lang w:val="hr-HR"/>
        </w:rPr>
        <w:t xml:space="preserve">. Ipak, konstatovali su da faktori poput </w:t>
      </w:r>
      <w:r w:rsidR="00544FA3">
        <w:rPr>
          <w:lang w:val="hr-HR"/>
        </w:rPr>
        <w:t>smjene godišnjih doba</w:t>
      </w:r>
      <w:r w:rsidR="00722288">
        <w:rPr>
          <w:lang w:val="hr-HR"/>
        </w:rPr>
        <w:t xml:space="preserve"> </w:t>
      </w:r>
      <w:r w:rsidR="00544FA3">
        <w:rPr>
          <w:lang w:val="hr-HR"/>
        </w:rPr>
        <w:t>koju</w:t>
      </w:r>
      <w:r w:rsidR="00722288">
        <w:rPr>
          <w:lang w:val="hr-HR"/>
        </w:rPr>
        <w:t xml:space="preserve"> prolaze</w:t>
      </w:r>
      <w:r w:rsidR="00544FA3">
        <w:rPr>
          <w:lang w:val="hr-HR"/>
        </w:rPr>
        <w:t xml:space="preserve"> prirodni</w:t>
      </w:r>
      <w:r w:rsidR="00722288">
        <w:rPr>
          <w:lang w:val="hr-HR"/>
        </w:rPr>
        <w:t xml:space="preserve"> izvori električne energije i ciklične prirode poslovanja samih subjekata mogu uticati na to koliko će subjektu biti potrebno da p</w:t>
      </w:r>
      <w:r w:rsidR="00544FA3">
        <w:rPr>
          <w:lang w:val="hr-HR"/>
        </w:rPr>
        <w:t>oravna</w:t>
      </w:r>
      <w:r w:rsidR="00722288">
        <w:rPr>
          <w:lang w:val="hr-HR"/>
        </w:rPr>
        <w:t xml:space="preserve"> prodaje nabavkama. </w:t>
      </w:r>
      <w:r w:rsidR="001C3CBD" w:rsidRPr="00722288">
        <w:rPr>
          <w:i/>
          <w:iCs/>
          <w:lang w:val="hr-HR"/>
        </w:rPr>
        <w:t>IASB</w:t>
      </w:r>
      <w:r w:rsidR="001C3CBD" w:rsidRPr="00EF5D0A">
        <w:rPr>
          <w:lang w:val="hr-HR"/>
        </w:rPr>
        <w:t xml:space="preserve"> </w:t>
      </w:r>
      <w:r w:rsidR="00722288">
        <w:rPr>
          <w:lang w:val="hr-HR"/>
        </w:rPr>
        <w:t xml:space="preserve">se odlučio zahtijevati od subjekata da uzmu te faktore u razmatranje kod utvrđivanja „razumnog perioda“. Tražeći od subjekata da </w:t>
      </w:r>
      <w:r w:rsidR="00544FA3">
        <w:rPr>
          <w:lang w:val="hr-HR"/>
        </w:rPr>
        <w:t>uvaže</w:t>
      </w:r>
      <w:r w:rsidR="00722288">
        <w:rPr>
          <w:lang w:val="hr-HR"/>
        </w:rPr>
        <w:t xml:space="preserve"> </w:t>
      </w:r>
      <w:r w:rsidR="00544FA3">
        <w:rPr>
          <w:lang w:val="hr-HR"/>
        </w:rPr>
        <w:t>smjenu godišnjih doba kod</w:t>
      </w:r>
      <w:r w:rsidR="00722288">
        <w:rPr>
          <w:lang w:val="hr-HR"/>
        </w:rPr>
        <w:t xml:space="preserve"> prirodnih izvora električne energije, oni su ograničili „razumni period“ na najviše puni ciklus od dvanaest (12) mjeseci. </w:t>
      </w:r>
      <w:r w:rsidR="00A67E98">
        <w:rPr>
          <w:u w:val="single"/>
          <w:lang w:val="hr-HR"/>
        </w:rPr>
        <w:t xml:space="preserve"> </w:t>
      </w:r>
    </w:p>
    <w:p w14:paraId="2E4DD239" w14:textId="526E65CF" w:rsidR="00014FB0" w:rsidRPr="005D62A7" w:rsidRDefault="00A92D4A">
      <w:pPr>
        <w:pStyle w:val="IASBNormalnpara"/>
        <w:rPr>
          <w:lang w:val="hr-HR"/>
        </w:rPr>
      </w:pPr>
      <w:r>
        <w:rPr>
          <w:lang w:val="hr-HR"/>
        </w:rPr>
        <w:t>OZ</w:t>
      </w:r>
      <w:r w:rsidR="001C3CBD" w:rsidRPr="00EF5D0A">
        <w:rPr>
          <w:lang w:val="hr-HR"/>
        </w:rPr>
        <w:t>2.18I</w:t>
      </w:r>
      <w:r w:rsidR="001C3CBD" w:rsidRPr="00EF5D0A">
        <w:rPr>
          <w:lang w:val="hr-HR"/>
        </w:rPr>
        <w:tab/>
      </w:r>
      <w:r w:rsidR="00722288">
        <w:rPr>
          <w:lang w:val="hr-HR"/>
        </w:rPr>
        <w:t xml:space="preserve">Tačka </w:t>
      </w:r>
      <w:r w:rsidR="001C3CBD" w:rsidRPr="00EF5D0A">
        <w:rPr>
          <w:lang w:val="hr-HR"/>
        </w:rPr>
        <w:t xml:space="preserve">2.4 </w:t>
      </w:r>
      <w:r w:rsidR="00722288">
        <w:rPr>
          <w:lang w:val="hr-HR"/>
        </w:rPr>
        <w:t xml:space="preserve">nalaže subjektima da razmotre </w:t>
      </w:r>
      <w:r w:rsidR="00C76102">
        <w:rPr>
          <w:i/>
          <w:lang w:val="hr-HR"/>
        </w:rPr>
        <w:t>svoju</w:t>
      </w:r>
      <w:r w:rsidR="001C3CBD" w:rsidRPr="00EF5D0A">
        <w:rPr>
          <w:lang w:val="hr-HR"/>
        </w:rPr>
        <w:t xml:space="preserve"> </w:t>
      </w:r>
      <w:r w:rsidR="00C76102">
        <w:rPr>
          <w:lang w:val="hr-HR"/>
        </w:rPr>
        <w:t xml:space="preserve">očekivanu potražnju za električnom energijom. </w:t>
      </w:r>
      <w:r w:rsidR="001C3CBD" w:rsidRPr="00C76102">
        <w:rPr>
          <w:i/>
          <w:iCs/>
          <w:lang w:val="hr-HR"/>
        </w:rPr>
        <w:t>IASB</w:t>
      </w:r>
      <w:r w:rsidR="001C3CBD" w:rsidRPr="00EF5D0A">
        <w:rPr>
          <w:lang w:val="hr-HR"/>
        </w:rPr>
        <w:t xml:space="preserve"> </w:t>
      </w:r>
      <w:r w:rsidR="00C76102">
        <w:rPr>
          <w:lang w:val="hr-HR"/>
        </w:rPr>
        <w:t xml:space="preserve">je odlučio da subjekti i procjenu toga da li su neto kupac provode na nivou subjekta. </w:t>
      </w:r>
      <w:r w:rsidR="00544FA3">
        <w:rPr>
          <w:lang w:val="hr-HR"/>
        </w:rPr>
        <w:t xml:space="preserve">S druge strane, </w:t>
      </w:r>
      <w:r w:rsidR="00C76102">
        <w:rPr>
          <w:lang w:val="hr-HR"/>
        </w:rPr>
        <w:t xml:space="preserve">smatrali su da ne bi bilo primjereno tražiti da subjekt svoje očekivane nabavke razmatra na nivou bilo kojeg drugog tržišta električnom energijom osim onoga na kojem je izvorno primio isporuku i prodao električnu energiju. U skladu s tim, zahtjevi navode da se smatra da je subjekt neto kupac električne energije samo ako kupuje dovoljne količine iste </w:t>
      </w:r>
      <w:r w:rsidR="00C76102">
        <w:rPr>
          <w:i/>
          <w:lang w:val="hr-HR"/>
        </w:rPr>
        <w:t xml:space="preserve">na istom tržištu </w:t>
      </w:r>
      <w:r w:rsidR="00C76102">
        <w:rPr>
          <w:lang w:val="hr-HR"/>
        </w:rPr>
        <w:t xml:space="preserve">na kojem je izvorno primio isporuku a potom prodao električnu energiju. </w:t>
      </w:r>
      <w:r w:rsidR="001C3CBD" w:rsidRPr="00C76102">
        <w:rPr>
          <w:i/>
          <w:iCs/>
          <w:lang w:val="hr-HR"/>
        </w:rPr>
        <w:t>IASB</w:t>
      </w:r>
      <w:r w:rsidR="001C3CBD" w:rsidRPr="00EF5D0A">
        <w:rPr>
          <w:lang w:val="hr-HR"/>
        </w:rPr>
        <w:t xml:space="preserve"> </w:t>
      </w:r>
      <w:r w:rsidR="00C76102">
        <w:rPr>
          <w:lang w:val="hr-HR"/>
        </w:rPr>
        <w:t>je razmatrao primjer kada subjekt s</w:t>
      </w:r>
      <w:r w:rsidR="00F1158E">
        <w:rPr>
          <w:lang w:val="hr-HR"/>
        </w:rPr>
        <w:t>klopi</w:t>
      </w:r>
      <w:r w:rsidR="00C76102">
        <w:rPr>
          <w:lang w:val="hr-HR"/>
        </w:rPr>
        <w:t xml:space="preserve"> ugovor o kupovini i prihvatanju isporuke električne energije iz </w:t>
      </w:r>
      <w:r w:rsidR="00F1158E">
        <w:rPr>
          <w:lang w:val="hr-HR"/>
        </w:rPr>
        <w:t xml:space="preserve">izvora zavisnih od </w:t>
      </w:r>
      <w:r w:rsidR="00C76102">
        <w:rPr>
          <w:lang w:val="hr-HR"/>
        </w:rPr>
        <w:t xml:space="preserve">prirodnih </w:t>
      </w:r>
      <w:r w:rsidR="00F1158E">
        <w:rPr>
          <w:lang w:val="hr-HR"/>
        </w:rPr>
        <w:t>uslova</w:t>
      </w:r>
      <w:r w:rsidR="00C76102">
        <w:rPr>
          <w:lang w:val="hr-HR"/>
        </w:rPr>
        <w:t xml:space="preserve"> na istom tržištu na kojem posluje i njegov</w:t>
      </w:r>
      <w:r w:rsidR="00E73B12">
        <w:rPr>
          <w:lang w:val="hr-HR"/>
        </w:rPr>
        <w:t xml:space="preserve">o postrojenje za proizvodnju hidrogena. </w:t>
      </w:r>
      <w:r w:rsidR="00C76102">
        <w:rPr>
          <w:lang w:val="hr-HR"/>
        </w:rPr>
        <w:t xml:space="preserve">S obzirom na razlike u predmetnim količinama električne energije, subjekt je ispregovarao ugovor za stotinu i dvadeset (120) posto </w:t>
      </w:r>
      <w:r w:rsidR="00E73B12">
        <w:rPr>
          <w:lang w:val="hr-HR"/>
        </w:rPr>
        <w:t xml:space="preserve">moguće </w:t>
      </w:r>
      <w:r w:rsidR="00C76102">
        <w:rPr>
          <w:lang w:val="hr-HR"/>
        </w:rPr>
        <w:t xml:space="preserve">potrošnje električne energije </w:t>
      </w:r>
      <w:r w:rsidR="00E73B12">
        <w:rPr>
          <w:lang w:val="hr-HR"/>
        </w:rPr>
        <w:t xml:space="preserve">tog postrojenja. </w:t>
      </w:r>
      <w:r w:rsidR="00C76102">
        <w:rPr>
          <w:lang w:val="hr-HR"/>
        </w:rPr>
        <w:t xml:space="preserve">Primjenjujući zahtjeve iz tačaka </w:t>
      </w:r>
      <w:r w:rsidR="001C3CBD" w:rsidRPr="00EF5D0A">
        <w:rPr>
          <w:lang w:val="hr-HR"/>
        </w:rPr>
        <w:t>B2.7</w:t>
      </w:r>
      <w:r w:rsidR="00C76102">
        <w:rPr>
          <w:lang w:val="hr-HR"/>
        </w:rPr>
        <w:t xml:space="preserve"> i </w:t>
      </w:r>
      <w:r w:rsidR="001C3CBD" w:rsidRPr="00EF5D0A">
        <w:rPr>
          <w:lang w:val="hr-HR"/>
        </w:rPr>
        <w:t xml:space="preserve">B2.8 </w:t>
      </w:r>
      <w:r w:rsidR="00C76102">
        <w:rPr>
          <w:lang w:val="hr-HR"/>
        </w:rPr>
        <w:t>MSFI-ja</w:t>
      </w:r>
      <w:r w:rsidR="001C3CBD" w:rsidRPr="00EF5D0A">
        <w:rPr>
          <w:lang w:val="hr-HR"/>
        </w:rPr>
        <w:t xml:space="preserve"> 9, </w:t>
      </w:r>
      <w:r w:rsidR="00C76102">
        <w:rPr>
          <w:lang w:val="hr-HR"/>
        </w:rPr>
        <w:t xml:space="preserve">subjekt nije dužan vršiti procjenu toga da li je neto kupac na nivou </w:t>
      </w:r>
      <w:r w:rsidR="00E73B12">
        <w:rPr>
          <w:lang w:val="hr-HR"/>
        </w:rPr>
        <w:t>postrojenja</w:t>
      </w:r>
      <w:r w:rsidR="00C76102">
        <w:rPr>
          <w:lang w:val="hr-HR"/>
        </w:rPr>
        <w:t xml:space="preserve"> već bi tu procjenu, umjesto toga, trebao izvršiti na nivou nabavki na tržištu na kojem prihvati isporuke električne energije iz </w:t>
      </w:r>
      <w:r w:rsidR="00E73B12">
        <w:rPr>
          <w:lang w:val="hr-HR"/>
        </w:rPr>
        <w:t xml:space="preserve">izvora zavisnih od </w:t>
      </w:r>
      <w:r w:rsidR="00C76102">
        <w:rPr>
          <w:lang w:val="hr-HR"/>
        </w:rPr>
        <w:t xml:space="preserve">prirodnih </w:t>
      </w:r>
      <w:r w:rsidR="00E73B12">
        <w:rPr>
          <w:lang w:val="hr-HR"/>
        </w:rPr>
        <w:t>uslova</w:t>
      </w:r>
      <w:r w:rsidR="00C76102">
        <w:rPr>
          <w:lang w:val="hr-HR"/>
        </w:rPr>
        <w:t xml:space="preserve"> prema ugovoru. </w:t>
      </w:r>
    </w:p>
    <w:p w14:paraId="7A86A9BF" w14:textId="3DE4CF84" w:rsidR="00014FB0" w:rsidRPr="00EF5D0A" w:rsidRDefault="00A92D4A">
      <w:pPr>
        <w:pStyle w:val="IASBNormalnpara"/>
        <w:rPr>
          <w:lang w:val="hr-HR"/>
        </w:rPr>
      </w:pPr>
      <w:r>
        <w:rPr>
          <w:lang w:val="hr-HR"/>
        </w:rPr>
        <w:t>OZ</w:t>
      </w:r>
      <w:r w:rsidR="001C3CBD" w:rsidRPr="00EF5D0A">
        <w:rPr>
          <w:lang w:val="hr-HR"/>
        </w:rPr>
        <w:t>2.18J</w:t>
      </w:r>
      <w:r w:rsidR="001C3CBD" w:rsidRPr="00EF5D0A">
        <w:rPr>
          <w:lang w:val="hr-HR"/>
        </w:rPr>
        <w:tab/>
      </w:r>
      <w:r w:rsidR="006E42E3">
        <w:rPr>
          <w:lang w:val="hr-HR"/>
        </w:rPr>
        <w:t xml:space="preserve">U odnosu na to kako subjekti </w:t>
      </w:r>
      <w:r w:rsidR="002A0759">
        <w:rPr>
          <w:lang w:val="hr-HR"/>
        </w:rPr>
        <w:t>identifikuju</w:t>
      </w:r>
      <w:r w:rsidR="006E42E3">
        <w:rPr>
          <w:lang w:val="hr-HR"/>
        </w:rPr>
        <w:t xml:space="preserve"> tržište na kojem </w:t>
      </w:r>
      <w:r w:rsidR="006E42E3">
        <w:rPr>
          <w:i/>
          <w:lang w:val="hr-HR"/>
        </w:rPr>
        <w:t>primaju isporuke</w:t>
      </w:r>
      <w:r w:rsidR="001C3CBD" w:rsidRPr="00EF5D0A">
        <w:rPr>
          <w:lang w:val="hr-HR"/>
        </w:rPr>
        <w:t xml:space="preserve"> </w:t>
      </w:r>
      <w:r w:rsidR="006E42E3">
        <w:rPr>
          <w:lang w:val="hr-HR"/>
        </w:rPr>
        <w:t xml:space="preserve">električne energije, </w:t>
      </w:r>
      <w:r w:rsidR="001C3CBD" w:rsidRPr="006E42E3">
        <w:rPr>
          <w:i/>
          <w:iCs/>
          <w:lang w:val="hr-HR"/>
        </w:rPr>
        <w:t>IASB</w:t>
      </w:r>
      <w:r w:rsidR="001C3CBD" w:rsidRPr="00EF5D0A">
        <w:rPr>
          <w:lang w:val="hr-HR"/>
        </w:rPr>
        <w:t xml:space="preserve"> </w:t>
      </w:r>
      <w:r w:rsidR="006E42E3">
        <w:rPr>
          <w:lang w:val="hr-HR"/>
        </w:rPr>
        <w:t xml:space="preserve">je </w:t>
      </w:r>
      <w:r w:rsidR="002A0759">
        <w:rPr>
          <w:lang w:val="hr-HR"/>
        </w:rPr>
        <w:t>konstatovao</w:t>
      </w:r>
      <w:r w:rsidR="006E42E3">
        <w:rPr>
          <w:lang w:val="hr-HR"/>
        </w:rPr>
        <w:t xml:space="preserve"> da se tačka</w:t>
      </w:r>
      <w:r w:rsidR="001C3CBD" w:rsidRPr="00EF5D0A">
        <w:rPr>
          <w:lang w:val="hr-HR"/>
        </w:rPr>
        <w:t xml:space="preserve"> 2.4 </w:t>
      </w:r>
      <w:r w:rsidR="006E42E3">
        <w:rPr>
          <w:lang w:val="hr-HR"/>
        </w:rPr>
        <w:t>poziva na „pri</w:t>
      </w:r>
      <w:r w:rsidR="002A0759">
        <w:rPr>
          <w:lang w:val="hr-HR"/>
        </w:rPr>
        <w:t>manje</w:t>
      </w:r>
      <w:r w:rsidR="006E42E3">
        <w:rPr>
          <w:lang w:val="hr-HR"/>
        </w:rPr>
        <w:t xml:space="preserve"> </w:t>
      </w:r>
      <w:r w:rsidR="002A0759">
        <w:rPr>
          <w:lang w:val="hr-HR"/>
        </w:rPr>
        <w:t xml:space="preserve">ili </w:t>
      </w:r>
      <w:r w:rsidR="006E42E3">
        <w:rPr>
          <w:lang w:val="hr-HR"/>
        </w:rPr>
        <w:t>isporuk</w:t>
      </w:r>
      <w:r w:rsidR="002A0759">
        <w:rPr>
          <w:lang w:val="hr-HR"/>
        </w:rPr>
        <w:t>u</w:t>
      </w:r>
      <w:r w:rsidR="006E42E3">
        <w:rPr>
          <w:lang w:val="hr-HR"/>
        </w:rPr>
        <w:t xml:space="preserve"> nefinansijske stavke“. Odlučili su ne uključivati zahtjeve o značenju isporuke jer je Odbor to pitanje razmatrao u</w:t>
      </w:r>
      <w:r w:rsidR="00A15A13">
        <w:rPr>
          <w:lang w:val="hr-HR"/>
        </w:rPr>
        <w:t xml:space="preserve"> kompilaciji svojih odluka, pod stavkom </w:t>
      </w:r>
      <w:r w:rsidR="006E42E3">
        <w:rPr>
          <w:i/>
          <w:lang w:val="hr-HR"/>
        </w:rPr>
        <w:t>Značenje isporuke</w:t>
      </w:r>
      <w:r w:rsidR="001C3CBD" w:rsidRPr="00EF5D0A">
        <w:rPr>
          <w:i/>
          <w:lang w:val="hr-HR"/>
        </w:rPr>
        <w:t xml:space="preserve"> (</w:t>
      </w:r>
      <w:r w:rsidR="006E42E3">
        <w:rPr>
          <w:i/>
          <w:lang w:val="hr-HR"/>
        </w:rPr>
        <w:t>MRS</w:t>
      </w:r>
      <w:r w:rsidR="001C3CBD" w:rsidRPr="00EF5D0A">
        <w:rPr>
          <w:i/>
          <w:lang w:val="hr-HR"/>
        </w:rPr>
        <w:t xml:space="preserve"> 39</w:t>
      </w:r>
      <w:r w:rsidR="001C3CBD" w:rsidRPr="00EF5D0A">
        <w:rPr>
          <w:lang w:val="hr-HR"/>
        </w:rPr>
        <w:t xml:space="preserve"> Finan</w:t>
      </w:r>
      <w:r w:rsidR="006E42E3">
        <w:rPr>
          <w:lang w:val="hr-HR"/>
        </w:rPr>
        <w:t>sijski instrumenti: Priznavanje i mjerenje</w:t>
      </w:r>
      <w:r w:rsidR="001C3CBD" w:rsidRPr="00EF5D0A">
        <w:rPr>
          <w:i/>
          <w:lang w:val="hr-HR"/>
        </w:rPr>
        <w:t>)</w:t>
      </w:r>
      <w:r w:rsidR="001C3CBD" w:rsidRPr="00EF5D0A">
        <w:rPr>
          <w:lang w:val="hr-HR"/>
        </w:rPr>
        <w:t xml:space="preserve"> (</w:t>
      </w:r>
      <w:r w:rsidR="006E42E3">
        <w:rPr>
          <w:lang w:val="hr-HR"/>
        </w:rPr>
        <w:t>a</w:t>
      </w:r>
      <w:r w:rsidR="001C3CBD" w:rsidRPr="00EF5D0A">
        <w:rPr>
          <w:lang w:val="hr-HR"/>
        </w:rPr>
        <w:t>ugust 2005</w:t>
      </w:r>
      <w:r w:rsidR="006E42E3">
        <w:rPr>
          <w:lang w:val="hr-HR"/>
        </w:rPr>
        <w:t>. godine</w:t>
      </w:r>
      <w:r w:rsidR="001C3CBD" w:rsidRPr="00EF5D0A">
        <w:rPr>
          <w:lang w:val="hr-HR"/>
        </w:rPr>
        <w:t xml:space="preserve">). </w:t>
      </w:r>
      <w:r w:rsidR="006E42E3">
        <w:rPr>
          <w:lang w:val="hr-HR"/>
        </w:rPr>
        <w:t xml:space="preserve">U </w:t>
      </w:r>
      <w:r w:rsidR="00A15A13">
        <w:rPr>
          <w:lang w:val="hr-HR"/>
        </w:rPr>
        <w:t>predmetnoj</w:t>
      </w:r>
      <w:r w:rsidR="006E42E3">
        <w:rPr>
          <w:lang w:val="hr-HR"/>
        </w:rPr>
        <w:t xml:space="preserve"> odluci</w:t>
      </w:r>
      <w:r w:rsidR="00A15A13">
        <w:rPr>
          <w:lang w:val="hr-HR"/>
        </w:rPr>
        <w:t>,</w:t>
      </w:r>
      <w:r w:rsidR="006E42E3">
        <w:rPr>
          <w:lang w:val="hr-HR"/>
        </w:rPr>
        <w:t xml:space="preserve"> oni navode da, kada se koristi u odnosu na izuzeće za vlastite potrebe</w:t>
      </w:r>
      <w:r w:rsidR="001C3CBD" w:rsidRPr="00EF5D0A">
        <w:rPr>
          <w:lang w:val="hr-HR"/>
        </w:rPr>
        <w:t xml:space="preserve">, </w:t>
      </w:r>
      <w:r w:rsidR="006E42E3">
        <w:rPr>
          <w:lang w:val="hr-HR"/>
        </w:rPr>
        <w:t xml:space="preserve">pojam „isporuka“ nije obavezno ograničen na fizičku isporuku konkretnom kupcu jer fizička isporuka nije preduslov za izuzeće. Odbor je bio stava da se i na </w:t>
      </w:r>
      <w:r w:rsidR="00A15A13">
        <w:rPr>
          <w:lang w:val="hr-HR"/>
        </w:rPr>
        <w:t>doznačavanje</w:t>
      </w:r>
      <w:r w:rsidR="006E42E3">
        <w:rPr>
          <w:lang w:val="hr-HR"/>
        </w:rPr>
        <w:t xml:space="preserve"> nefinancijske stavke na račun kupca može gledati kao na „isporuku“. Subjekt se mora služiti vlastitim rasuđivanjem kako bi utvrdio na kojem tržištu prihvata isporuke električne energije prema ugovoru, razumijevajući da „isporuka“ ne mora obavezno biti „fizička“. </w:t>
      </w:r>
    </w:p>
    <w:p w14:paraId="1B2B0AD0" w14:textId="3E01A819" w:rsidR="00014FB0" w:rsidRPr="00EF5D0A" w:rsidRDefault="00A92D4A">
      <w:pPr>
        <w:pStyle w:val="IASBNormalnpara"/>
        <w:rPr>
          <w:lang w:val="hr-HR"/>
        </w:rPr>
      </w:pPr>
      <w:r>
        <w:rPr>
          <w:lang w:val="hr-HR"/>
        </w:rPr>
        <w:t>OZ</w:t>
      </w:r>
      <w:r w:rsidR="001C3CBD" w:rsidRPr="00EF5D0A">
        <w:rPr>
          <w:lang w:val="hr-HR"/>
        </w:rPr>
        <w:t>2.18K</w:t>
      </w:r>
      <w:r w:rsidR="001C3CBD" w:rsidRPr="00EF5D0A">
        <w:rPr>
          <w:lang w:val="hr-HR"/>
        </w:rPr>
        <w:tab/>
      </w:r>
      <w:r w:rsidR="006E42E3">
        <w:rPr>
          <w:lang w:val="hr-HR"/>
        </w:rPr>
        <w:t>Značajan broj ugovora o</w:t>
      </w:r>
      <w:r w:rsidR="00A15A13">
        <w:rPr>
          <w:lang w:val="hr-HR"/>
        </w:rPr>
        <w:t xml:space="preserve"> kupovini</w:t>
      </w:r>
      <w:r w:rsidR="006E42E3">
        <w:rPr>
          <w:lang w:val="hr-HR"/>
        </w:rPr>
        <w:t xml:space="preserve"> i prihvatanju isporuke električne energije iz </w:t>
      </w:r>
      <w:r w:rsidR="00A15A13">
        <w:rPr>
          <w:lang w:val="hr-HR"/>
        </w:rPr>
        <w:t xml:space="preserve">izvora zavisnih od </w:t>
      </w:r>
      <w:r w:rsidR="006E42E3">
        <w:rPr>
          <w:lang w:val="hr-HR"/>
        </w:rPr>
        <w:t xml:space="preserve">prirodnih </w:t>
      </w:r>
      <w:r w:rsidR="00A15A13">
        <w:rPr>
          <w:lang w:val="hr-HR"/>
        </w:rPr>
        <w:t xml:space="preserve">uslova </w:t>
      </w:r>
      <w:r w:rsidR="00BC7130">
        <w:rPr>
          <w:lang w:val="hr-HR"/>
        </w:rPr>
        <w:t>su dugoročni</w:t>
      </w:r>
      <w:r w:rsidR="001C3CBD" w:rsidRPr="00EF5D0A">
        <w:rPr>
          <w:lang w:val="hr-HR"/>
        </w:rPr>
        <w:t xml:space="preserve"> (</w:t>
      </w:r>
      <w:r w:rsidR="00BC7130">
        <w:rPr>
          <w:lang w:val="hr-HR"/>
        </w:rPr>
        <w:t xml:space="preserve">važe, primjera radi, na period od dvadeset i pet godina). Nije bila namjera </w:t>
      </w:r>
      <w:r w:rsidR="00BC7130" w:rsidRPr="00BC7130">
        <w:rPr>
          <w:i/>
          <w:iCs/>
          <w:lang w:val="hr-HR"/>
        </w:rPr>
        <w:t>IASB</w:t>
      </w:r>
      <w:r w:rsidR="00BC7130">
        <w:rPr>
          <w:lang w:val="hr-HR"/>
        </w:rPr>
        <w:t xml:space="preserve">-a da procjena subjekta da li je bio i očekuje da će biti neto kupac električne energije tokom važenja ugovora bude detaljna procjena prošlih, tekućih i očekivanih prodaja i nabavki električne energije za sve vremenske intervale tokom važenja ugovora koji su </w:t>
      </w:r>
      <w:r w:rsidR="00A15A13">
        <w:rPr>
          <w:lang w:val="hr-HR"/>
        </w:rPr>
        <w:t>prepoznati</w:t>
      </w:r>
      <w:r w:rsidR="00BC7130">
        <w:rPr>
          <w:lang w:val="hr-HR"/>
        </w:rPr>
        <w:t xml:space="preserve"> kao „razumni periodi“. Smatrali su da se njihova namjera može izraziti kroz frazu „razumne i potkrepljive informacije“ (do kojih se može doći bez nepotrebnih troškova ili napora). </w:t>
      </w:r>
      <w:r w:rsidR="001C3CBD" w:rsidRPr="00BC7130">
        <w:rPr>
          <w:i/>
          <w:iCs/>
          <w:lang w:val="hr-HR"/>
        </w:rPr>
        <w:t>IASB</w:t>
      </w:r>
      <w:r w:rsidR="001C3CBD" w:rsidRPr="00EF5D0A">
        <w:rPr>
          <w:lang w:val="hr-HR"/>
        </w:rPr>
        <w:t xml:space="preserve"> </w:t>
      </w:r>
      <w:r w:rsidR="00BC7130">
        <w:rPr>
          <w:lang w:val="hr-HR"/>
        </w:rPr>
        <w:t xml:space="preserve">je zaključio da je </w:t>
      </w:r>
      <w:r w:rsidR="00067371">
        <w:rPr>
          <w:lang w:val="hr-HR"/>
        </w:rPr>
        <w:t xml:space="preserve">ona </w:t>
      </w:r>
      <w:r w:rsidR="00BC7130">
        <w:rPr>
          <w:lang w:val="hr-HR"/>
        </w:rPr>
        <w:t>svima dobro poznata i koristi se u IFRS računovodstveni</w:t>
      </w:r>
      <w:r w:rsidR="00067371">
        <w:rPr>
          <w:lang w:val="hr-HR"/>
        </w:rPr>
        <w:t>m</w:t>
      </w:r>
      <w:r w:rsidR="00BC7130">
        <w:rPr>
          <w:lang w:val="hr-HR"/>
        </w:rPr>
        <w:t xml:space="preserve"> standardima poput MSFI-ja 9 i MSFI-ja 17 </w:t>
      </w:r>
      <w:r w:rsidR="00BC7130">
        <w:rPr>
          <w:i/>
          <w:lang w:val="hr-HR"/>
        </w:rPr>
        <w:t>Ugovori o osiguranju</w:t>
      </w:r>
      <w:r w:rsidR="001C3CBD" w:rsidRPr="00EF5D0A">
        <w:rPr>
          <w:lang w:val="hr-HR"/>
        </w:rPr>
        <w:t xml:space="preserve">. </w:t>
      </w:r>
      <w:r w:rsidR="00BC7130">
        <w:rPr>
          <w:lang w:val="hr-HR"/>
        </w:rPr>
        <w:t xml:space="preserve">Kako bi </w:t>
      </w:r>
      <w:r w:rsidR="00787D50">
        <w:rPr>
          <w:lang w:val="hr-HR"/>
        </w:rPr>
        <w:t xml:space="preserve">to kada subjekt određuje da li </w:t>
      </w:r>
      <w:r w:rsidR="00787D50">
        <w:rPr>
          <w:i/>
          <w:lang w:val="hr-HR"/>
        </w:rPr>
        <w:t>je bio</w:t>
      </w:r>
      <w:r w:rsidR="001C3CBD" w:rsidRPr="00EF5D0A">
        <w:rPr>
          <w:lang w:val="hr-HR"/>
        </w:rPr>
        <w:t xml:space="preserve"> net</w:t>
      </w:r>
      <w:r w:rsidR="00787D50">
        <w:rPr>
          <w:lang w:val="hr-HR"/>
        </w:rPr>
        <w:t xml:space="preserve">o kupac učinio dovoljno strogim, </w:t>
      </w:r>
      <w:r w:rsidR="001C3CBD" w:rsidRPr="00787D50">
        <w:rPr>
          <w:i/>
          <w:iCs/>
          <w:lang w:val="hr-HR"/>
        </w:rPr>
        <w:t>IASB</w:t>
      </w:r>
      <w:r w:rsidR="001C3CBD" w:rsidRPr="00EF5D0A">
        <w:rPr>
          <w:lang w:val="hr-HR"/>
        </w:rPr>
        <w:t xml:space="preserve"> </w:t>
      </w:r>
      <w:r w:rsidR="00787D50">
        <w:rPr>
          <w:lang w:val="hr-HR"/>
        </w:rPr>
        <w:t>se odlučio naložiti subjekt</w:t>
      </w:r>
      <w:r w:rsidR="009A269C">
        <w:rPr>
          <w:lang w:val="hr-HR"/>
        </w:rPr>
        <w:t>ima</w:t>
      </w:r>
      <w:r w:rsidR="00787D50">
        <w:rPr>
          <w:lang w:val="hr-HR"/>
        </w:rPr>
        <w:t xml:space="preserve"> da razmatra</w:t>
      </w:r>
      <w:r w:rsidR="009A269C">
        <w:rPr>
          <w:lang w:val="hr-HR"/>
        </w:rPr>
        <w:t>ju</w:t>
      </w:r>
      <w:r w:rsidR="00787D50">
        <w:rPr>
          <w:lang w:val="hr-HR"/>
        </w:rPr>
        <w:t xml:space="preserve"> svoje transakcije električnom energijom tokom perioda </w:t>
      </w:r>
      <w:r w:rsidR="009A269C">
        <w:rPr>
          <w:lang w:val="hr-HR"/>
        </w:rPr>
        <w:t xml:space="preserve">procjene </w:t>
      </w:r>
      <w:r w:rsidR="00787D50">
        <w:rPr>
          <w:lang w:val="hr-HR"/>
        </w:rPr>
        <w:t xml:space="preserve">od najviše dvanaest (12) mjeseci. Uvažili su činjenicu da određeno vrijeme nakon sklapanja ugovora možda nije bilo moguće de je subjekt bio neto kupac na razuman period jer takav period </w:t>
      </w:r>
      <w:r w:rsidR="002310F5">
        <w:rPr>
          <w:lang w:val="hr-HR"/>
        </w:rPr>
        <w:t xml:space="preserve">tada </w:t>
      </w:r>
      <w:r w:rsidR="00787D50">
        <w:rPr>
          <w:lang w:val="hr-HR"/>
        </w:rPr>
        <w:t>još nije pro</w:t>
      </w:r>
      <w:r w:rsidR="002310F5">
        <w:rPr>
          <w:lang w:val="hr-HR"/>
        </w:rPr>
        <w:t>tekao</w:t>
      </w:r>
      <w:r w:rsidR="00787D50">
        <w:rPr>
          <w:lang w:val="hr-HR"/>
        </w:rPr>
        <w:t xml:space="preserve">. Nije bila namjena </w:t>
      </w:r>
      <w:r w:rsidR="002310F5" w:rsidRPr="002310F5">
        <w:rPr>
          <w:i/>
          <w:iCs/>
          <w:lang w:val="hr-HR"/>
        </w:rPr>
        <w:t>IASB</w:t>
      </w:r>
      <w:r w:rsidR="002310F5">
        <w:rPr>
          <w:lang w:val="hr-HR"/>
        </w:rPr>
        <w:t xml:space="preserve">-a </w:t>
      </w:r>
      <w:r w:rsidR="00787D50">
        <w:rPr>
          <w:lang w:val="hr-HR"/>
        </w:rPr>
        <w:t xml:space="preserve">da </w:t>
      </w:r>
      <w:r w:rsidR="002310F5">
        <w:rPr>
          <w:lang w:val="hr-HR"/>
        </w:rPr>
        <w:t>u startu izgleda</w:t>
      </w:r>
      <w:r w:rsidR="00787D50">
        <w:rPr>
          <w:lang w:val="hr-HR"/>
        </w:rPr>
        <w:t xml:space="preserve"> da takvi ugovori nisu u skladu sa izuzećem za vlastite potrebe, ali </w:t>
      </w:r>
      <w:r w:rsidR="002310F5">
        <w:rPr>
          <w:lang w:val="hr-HR"/>
        </w:rPr>
        <w:t>su s</w:t>
      </w:r>
      <w:r w:rsidR="00787D50">
        <w:rPr>
          <w:lang w:val="hr-HR"/>
        </w:rPr>
        <w:t>matra</w:t>
      </w:r>
      <w:r w:rsidR="002310F5">
        <w:rPr>
          <w:lang w:val="hr-HR"/>
        </w:rPr>
        <w:t>li</w:t>
      </w:r>
      <w:r w:rsidR="00787D50">
        <w:rPr>
          <w:lang w:val="hr-HR"/>
        </w:rPr>
        <w:t xml:space="preserve"> da procjena u vezi s neto kupce</w:t>
      </w:r>
      <w:r w:rsidR="002310F5">
        <w:rPr>
          <w:lang w:val="hr-HR"/>
        </w:rPr>
        <w:t>m</w:t>
      </w:r>
      <w:r w:rsidR="00787D50">
        <w:rPr>
          <w:lang w:val="hr-HR"/>
        </w:rPr>
        <w:t xml:space="preserve"> treba biti sveobuhvatna procjena svrhe ugovora </w:t>
      </w:r>
      <w:r w:rsidR="002310F5">
        <w:rPr>
          <w:lang w:val="hr-HR"/>
        </w:rPr>
        <w:t xml:space="preserve">i </w:t>
      </w:r>
      <w:r w:rsidR="00787D50">
        <w:rPr>
          <w:lang w:val="hr-HR"/>
        </w:rPr>
        <w:t xml:space="preserve">očekivanja subjekta u pogledu njegovog utroška električne energije. U skladu s tim, odlučili su ne uvoditi dodatne zahtjeve za takve situacije. </w:t>
      </w:r>
    </w:p>
    <w:p w14:paraId="5D4A7BF1" w14:textId="77777777" w:rsidR="00014FB0" w:rsidRPr="00EF5D0A" w:rsidRDefault="001C3CBD">
      <w:pPr>
        <w:pStyle w:val="IASBNormalnparaP"/>
        <w:rPr>
          <w:lang w:val="hr-HR"/>
        </w:rPr>
      </w:pPr>
      <w:r w:rsidRPr="00EF5D0A">
        <w:rPr>
          <w:lang w:val="hr-HR"/>
        </w:rPr>
        <w:t>...</w:t>
      </w:r>
    </w:p>
    <w:p w14:paraId="0D81B71A" w14:textId="5D75EB1C" w:rsidR="00014FB0" w:rsidRPr="00EF5D0A" w:rsidRDefault="00830FDE">
      <w:pPr>
        <w:pStyle w:val="IASBSectionTitle1NonInd"/>
        <w:rPr>
          <w:lang w:val="hr-HR"/>
        </w:rPr>
      </w:pPr>
      <w:bookmarkStart w:id="43" w:name="unique_36"/>
      <w:r>
        <w:rPr>
          <w:lang w:val="hr-HR"/>
        </w:rPr>
        <w:t xml:space="preserve">Računovodstvo zaštite od rizika </w:t>
      </w:r>
      <w:r w:rsidR="001C3CBD" w:rsidRPr="00EF5D0A">
        <w:rPr>
          <w:lang w:val="hr-HR"/>
        </w:rPr>
        <w:t>(</w:t>
      </w:r>
      <w:r>
        <w:rPr>
          <w:lang w:val="hr-HR"/>
        </w:rPr>
        <w:t>Poglavlje</w:t>
      </w:r>
      <w:r w:rsidR="001C3CBD" w:rsidRPr="00EF5D0A">
        <w:rPr>
          <w:lang w:val="hr-HR"/>
        </w:rPr>
        <w:t xml:space="preserve"> 6)</w:t>
      </w:r>
      <w:bookmarkEnd w:id="43"/>
    </w:p>
    <w:p w14:paraId="445A1F29" w14:textId="77777777" w:rsidR="00014FB0" w:rsidRPr="00EF5D0A" w:rsidRDefault="001C3CBD">
      <w:pPr>
        <w:pStyle w:val="IASBNormalnpara"/>
        <w:rPr>
          <w:lang w:val="hr-HR"/>
        </w:rPr>
      </w:pPr>
      <w:r w:rsidRPr="00EF5D0A">
        <w:rPr>
          <w:lang w:val="hr-HR"/>
        </w:rPr>
        <w:tab/>
        <w:t>...</w:t>
      </w:r>
    </w:p>
    <w:p w14:paraId="506A4302" w14:textId="1C021F1B" w:rsidR="00014FB0" w:rsidRPr="00EF5D0A" w:rsidRDefault="00DF65E9" w:rsidP="00EA4922">
      <w:pPr>
        <w:pStyle w:val="IASBSectionTitle2Ind"/>
        <w:spacing w:beforeLines="60" w:before="144"/>
        <w:rPr>
          <w:lang w:val="hr-HR"/>
        </w:rPr>
      </w:pPr>
      <w:bookmarkStart w:id="44" w:name="unique_124"/>
      <w:r>
        <w:rPr>
          <w:lang w:val="hr-HR"/>
        </w:rPr>
        <w:lastRenderedPageBreak/>
        <w:t xml:space="preserve">Ugovori </w:t>
      </w:r>
      <w:r w:rsidR="003727BB">
        <w:rPr>
          <w:lang w:val="hr-HR"/>
        </w:rPr>
        <w:t>o</w:t>
      </w:r>
      <w:r>
        <w:rPr>
          <w:lang w:val="hr-HR"/>
        </w:rPr>
        <w:t xml:space="preserve"> električn</w:t>
      </w:r>
      <w:r w:rsidR="003727BB">
        <w:rPr>
          <w:lang w:val="hr-HR"/>
        </w:rPr>
        <w:t>oj</w:t>
      </w:r>
      <w:r>
        <w:rPr>
          <w:lang w:val="hr-HR"/>
        </w:rPr>
        <w:t xml:space="preserve"> energij</w:t>
      </w:r>
      <w:r w:rsidR="003727BB">
        <w:rPr>
          <w:lang w:val="hr-HR"/>
        </w:rPr>
        <w:t>i</w:t>
      </w:r>
      <w:r>
        <w:rPr>
          <w:lang w:val="hr-HR"/>
        </w:rPr>
        <w:t xml:space="preserve"> iz izvora zavisnih od prirodnih uslova</w:t>
      </w:r>
      <w:r w:rsidR="00787D50">
        <w:rPr>
          <w:lang w:val="hr-HR"/>
        </w:rPr>
        <w:t xml:space="preserve"> </w:t>
      </w:r>
      <w:r w:rsidR="001C3CBD" w:rsidRPr="00EF5D0A">
        <w:rPr>
          <w:lang w:val="hr-HR"/>
        </w:rPr>
        <w:t>(</w:t>
      </w:r>
      <w:r w:rsidR="00787D50">
        <w:rPr>
          <w:lang w:val="hr-HR"/>
        </w:rPr>
        <w:t>tačke</w:t>
      </w:r>
      <w:r w:rsidR="001C3CBD" w:rsidRPr="00EF5D0A">
        <w:rPr>
          <w:lang w:val="hr-HR"/>
        </w:rPr>
        <w:t xml:space="preserve"> 6.10.1</w:t>
      </w:r>
      <w:r w:rsidR="00787D50">
        <w:rPr>
          <w:lang w:val="hr-HR"/>
        </w:rPr>
        <w:t xml:space="preserve"> i </w:t>
      </w:r>
      <w:r w:rsidR="001C3CBD" w:rsidRPr="00EF5D0A">
        <w:rPr>
          <w:lang w:val="hr-HR"/>
        </w:rPr>
        <w:t>6.10.2)</w:t>
      </w:r>
      <w:bookmarkEnd w:id="44"/>
    </w:p>
    <w:p w14:paraId="179978C6" w14:textId="239353AF" w:rsidR="00014FB0" w:rsidRPr="00EF5D0A" w:rsidRDefault="00A92D4A" w:rsidP="00EA4922">
      <w:pPr>
        <w:pStyle w:val="IASBNormalnpara"/>
        <w:spacing w:beforeLines="60" w:before="144"/>
        <w:rPr>
          <w:lang w:val="hr-HR"/>
        </w:rPr>
      </w:pPr>
      <w:r>
        <w:rPr>
          <w:lang w:val="hr-HR"/>
        </w:rPr>
        <w:t>OZ</w:t>
      </w:r>
      <w:r w:rsidR="001C3CBD" w:rsidRPr="00EF5D0A">
        <w:rPr>
          <w:lang w:val="hr-HR"/>
        </w:rPr>
        <w:t>6.661</w:t>
      </w:r>
      <w:r w:rsidR="001C3CBD" w:rsidRPr="00EF5D0A">
        <w:rPr>
          <w:lang w:val="hr-HR"/>
        </w:rPr>
        <w:tab/>
      </w:r>
      <w:r w:rsidR="003217F6">
        <w:rPr>
          <w:lang w:val="hr-HR"/>
        </w:rPr>
        <w:t xml:space="preserve">Od </w:t>
      </w:r>
      <w:r w:rsidR="001C3CBD" w:rsidRPr="00787D50">
        <w:rPr>
          <w:i/>
          <w:iCs/>
          <w:lang w:val="hr-HR"/>
        </w:rPr>
        <w:t>IASB</w:t>
      </w:r>
      <w:r w:rsidR="003217F6" w:rsidRPr="003217F6">
        <w:rPr>
          <w:lang w:val="hr-HR"/>
        </w:rPr>
        <w:t>-a</w:t>
      </w:r>
      <w:r w:rsidR="001C3CBD" w:rsidRPr="00EF5D0A">
        <w:rPr>
          <w:lang w:val="hr-HR"/>
        </w:rPr>
        <w:t xml:space="preserve"> </w:t>
      </w:r>
      <w:r w:rsidR="003217F6">
        <w:rPr>
          <w:lang w:val="hr-HR"/>
        </w:rPr>
        <w:t xml:space="preserve">je zatraženo da pojasni na koji način subjekti trebaju primjenjivati zahtjeve računovodstva zaštite od rizika iz MSFI-ja 9 u uslovima kada se ugovor </w:t>
      </w:r>
      <w:r w:rsidR="000B4D55">
        <w:rPr>
          <w:lang w:val="hr-HR"/>
        </w:rPr>
        <w:t xml:space="preserve">o </w:t>
      </w:r>
      <w:r w:rsidR="003217F6">
        <w:rPr>
          <w:lang w:val="hr-HR"/>
        </w:rPr>
        <w:t>električn</w:t>
      </w:r>
      <w:r w:rsidR="000B4D55">
        <w:rPr>
          <w:lang w:val="hr-HR"/>
        </w:rPr>
        <w:t>oj</w:t>
      </w:r>
      <w:r w:rsidR="003217F6">
        <w:rPr>
          <w:lang w:val="hr-HR"/>
        </w:rPr>
        <w:t xml:space="preserve"> energij</w:t>
      </w:r>
      <w:r w:rsidR="000B4D55">
        <w:rPr>
          <w:lang w:val="hr-HR"/>
        </w:rPr>
        <w:t>i</w:t>
      </w:r>
      <w:r w:rsidR="003217F6">
        <w:rPr>
          <w:lang w:val="hr-HR"/>
        </w:rPr>
        <w:t xml:space="preserve"> iz </w:t>
      </w:r>
      <w:r w:rsidR="000B4D55">
        <w:rPr>
          <w:lang w:val="hr-HR"/>
        </w:rPr>
        <w:t xml:space="preserve">izvora zavisnih od </w:t>
      </w:r>
      <w:r w:rsidR="003217F6">
        <w:rPr>
          <w:lang w:val="hr-HR"/>
        </w:rPr>
        <w:t xml:space="preserve">prirodnih </w:t>
      </w:r>
      <w:r w:rsidR="000B4D55">
        <w:rPr>
          <w:lang w:val="hr-HR"/>
        </w:rPr>
        <w:t>uslova</w:t>
      </w:r>
      <w:r w:rsidR="003217F6">
        <w:rPr>
          <w:lang w:val="hr-HR"/>
        </w:rPr>
        <w:t xml:space="preserve"> s promjenjiv</w:t>
      </w:r>
      <w:r w:rsidR="000B4D55">
        <w:rPr>
          <w:lang w:val="hr-HR"/>
        </w:rPr>
        <w:t>om nominalnom vrijednošću</w:t>
      </w:r>
      <w:r w:rsidR="003217F6">
        <w:rPr>
          <w:lang w:val="hr-HR"/>
        </w:rPr>
        <w:t xml:space="preserve"> odredi kao instrument zaštite. </w:t>
      </w:r>
    </w:p>
    <w:p w14:paraId="12DDA56E" w14:textId="77777777" w:rsidR="00EA4922" w:rsidRPr="00E40097" w:rsidRDefault="00EA4922" w:rsidP="00EA4922">
      <w:pPr>
        <w:pStyle w:val="IASBSectionTitle3Ind"/>
        <w:spacing w:before="0" w:after="0"/>
        <w:rPr>
          <w:sz w:val="12"/>
          <w:szCs w:val="12"/>
          <w:lang w:val="hr-HR"/>
        </w:rPr>
      </w:pPr>
      <w:bookmarkStart w:id="45" w:name="unique_126"/>
    </w:p>
    <w:p w14:paraId="75BAFD9F" w14:textId="7444EA4E" w:rsidR="00014FB0" w:rsidRPr="00EF5D0A" w:rsidRDefault="003217F6" w:rsidP="00EA4922">
      <w:pPr>
        <w:pStyle w:val="IASBSectionTitle3Ind"/>
        <w:spacing w:before="60"/>
        <w:rPr>
          <w:lang w:val="hr-HR"/>
        </w:rPr>
      </w:pPr>
      <w:r>
        <w:rPr>
          <w:lang w:val="hr-HR"/>
        </w:rPr>
        <w:t>O</w:t>
      </w:r>
      <w:r w:rsidR="000B4D55">
        <w:rPr>
          <w:lang w:val="hr-HR"/>
        </w:rPr>
        <w:t xml:space="preserve">dređivanje </w:t>
      </w:r>
      <w:r>
        <w:rPr>
          <w:lang w:val="hr-HR"/>
        </w:rPr>
        <w:t>stavk</w:t>
      </w:r>
      <w:r w:rsidR="00A5594A">
        <w:rPr>
          <w:lang w:val="hr-HR"/>
        </w:rPr>
        <w:t xml:space="preserve">e zaštićene od rizika </w:t>
      </w:r>
      <w:r>
        <w:rPr>
          <w:lang w:val="hr-HR"/>
        </w:rPr>
        <w:t xml:space="preserve"> </w:t>
      </w:r>
      <w:bookmarkEnd w:id="45"/>
    </w:p>
    <w:p w14:paraId="21A0B7B9" w14:textId="6DB1ECB5" w:rsidR="00014FB0" w:rsidRPr="00EF5D0A" w:rsidRDefault="00A92D4A" w:rsidP="00EA4922">
      <w:pPr>
        <w:pStyle w:val="IASBNormalnpara"/>
        <w:spacing w:before="60"/>
        <w:rPr>
          <w:lang w:val="hr-HR"/>
        </w:rPr>
      </w:pPr>
      <w:r>
        <w:rPr>
          <w:lang w:val="hr-HR"/>
        </w:rPr>
        <w:t>OZ</w:t>
      </w:r>
      <w:r w:rsidR="001C3CBD" w:rsidRPr="00EF5D0A">
        <w:rPr>
          <w:lang w:val="hr-HR"/>
        </w:rPr>
        <w:t>6.662</w:t>
      </w:r>
      <w:r w:rsidR="001C3CBD" w:rsidRPr="00EF5D0A">
        <w:rPr>
          <w:lang w:val="hr-HR"/>
        </w:rPr>
        <w:tab/>
      </w:r>
      <w:r w:rsidR="001C3CBD" w:rsidRPr="003217F6">
        <w:rPr>
          <w:i/>
          <w:iCs/>
          <w:lang w:val="hr-HR"/>
        </w:rPr>
        <w:t>IASB</w:t>
      </w:r>
      <w:r w:rsidR="001C3CBD" w:rsidRPr="00EF5D0A">
        <w:rPr>
          <w:lang w:val="hr-HR"/>
        </w:rPr>
        <w:t xml:space="preserve"> </w:t>
      </w:r>
      <w:r w:rsidR="003217F6">
        <w:rPr>
          <w:lang w:val="hr-HR"/>
        </w:rPr>
        <w:t xml:space="preserve">je konstatovao da se tačkom </w:t>
      </w:r>
      <w:r w:rsidR="001C3CBD" w:rsidRPr="00EF5D0A">
        <w:rPr>
          <w:lang w:val="hr-HR"/>
        </w:rPr>
        <w:t xml:space="preserve">6.3.7 </w:t>
      </w:r>
      <w:r w:rsidR="003217F6">
        <w:rPr>
          <w:lang w:val="hr-HR"/>
        </w:rPr>
        <w:t>MSFI-ja</w:t>
      </w:r>
      <w:r w:rsidR="001C3CBD" w:rsidRPr="00EF5D0A">
        <w:rPr>
          <w:lang w:val="hr-HR"/>
        </w:rPr>
        <w:t xml:space="preserve"> 9</w:t>
      </w:r>
      <w:r w:rsidR="00A5594A">
        <w:rPr>
          <w:lang w:val="hr-HR"/>
        </w:rPr>
        <w:t>,</w:t>
      </w:r>
      <w:r w:rsidR="001C3CBD" w:rsidRPr="00EF5D0A">
        <w:rPr>
          <w:lang w:val="hr-HR"/>
        </w:rPr>
        <w:t xml:space="preserve"> </w:t>
      </w:r>
      <w:r w:rsidR="003217F6">
        <w:rPr>
          <w:lang w:val="hr-HR"/>
        </w:rPr>
        <w:t>u pravilu</w:t>
      </w:r>
      <w:r w:rsidR="00A5594A">
        <w:rPr>
          <w:lang w:val="hr-HR"/>
        </w:rPr>
        <w:t>,</w:t>
      </w:r>
      <w:r w:rsidR="003217F6">
        <w:rPr>
          <w:lang w:val="hr-HR"/>
        </w:rPr>
        <w:t xml:space="preserve"> od subjekata traži da kao </w:t>
      </w:r>
      <w:r w:rsidR="00A5594A">
        <w:rPr>
          <w:lang w:val="hr-HR"/>
        </w:rPr>
        <w:t xml:space="preserve">stavku </w:t>
      </w:r>
      <w:r w:rsidR="003217F6">
        <w:rPr>
          <w:lang w:val="hr-HR"/>
        </w:rPr>
        <w:t xml:space="preserve">zaštićenu </w:t>
      </w:r>
      <w:r w:rsidR="00A5594A">
        <w:rPr>
          <w:lang w:val="hr-HR"/>
        </w:rPr>
        <w:t xml:space="preserve">od rizika </w:t>
      </w:r>
      <w:r w:rsidR="003217F6">
        <w:rPr>
          <w:lang w:val="hr-HR"/>
        </w:rPr>
        <w:t>odrede konkret</w:t>
      </w:r>
      <w:r w:rsidR="00A5594A">
        <w:rPr>
          <w:lang w:val="hr-HR"/>
        </w:rPr>
        <w:t>nu nominalnu vrijednost</w:t>
      </w:r>
      <w:r w:rsidR="003217F6">
        <w:rPr>
          <w:lang w:val="hr-HR"/>
        </w:rPr>
        <w:t xml:space="preserve"> ili količinu, odnosno komponentu takv</w:t>
      </w:r>
      <w:r w:rsidR="00A5594A">
        <w:rPr>
          <w:lang w:val="hr-HR"/>
        </w:rPr>
        <w:t>e</w:t>
      </w:r>
      <w:r w:rsidR="003217F6">
        <w:rPr>
          <w:lang w:val="hr-HR"/>
        </w:rPr>
        <w:t xml:space="preserve"> nominaln</w:t>
      </w:r>
      <w:r w:rsidR="00A5594A">
        <w:rPr>
          <w:lang w:val="hr-HR"/>
        </w:rPr>
        <w:t>e</w:t>
      </w:r>
      <w:r w:rsidR="003217F6">
        <w:rPr>
          <w:lang w:val="hr-HR"/>
        </w:rPr>
        <w:t xml:space="preserve"> </w:t>
      </w:r>
      <w:r w:rsidR="00A5594A">
        <w:rPr>
          <w:lang w:val="hr-HR"/>
        </w:rPr>
        <w:t>vrijednosti</w:t>
      </w:r>
      <w:r w:rsidR="003217F6">
        <w:rPr>
          <w:lang w:val="hr-HR"/>
        </w:rPr>
        <w:t xml:space="preserve"> ili količine. Promjene zaštićene stavke, uključujući promjene nominaln</w:t>
      </w:r>
      <w:r w:rsidR="00A5594A">
        <w:rPr>
          <w:lang w:val="hr-HR"/>
        </w:rPr>
        <w:t>e vrijednosti</w:t>
      </w:r>
      <w:r w:rsidR="003217F6">
        <w:rPr>
          <w:lang w:val="hr-HR"/>
        </w:rPr>
        <w:t xml:space="preserve"> ili količine koje treba odrediti, mogu dovesti do toga da subjekt označi novi odnos zaštite ili bi moglo </w:t>
      </w:r>
      <w:r w:rsidR="00A5594A">
        <w:rPr>
          <w:lang w:val="hr-HR"/>
        </w:rPr>
        <w:t>ukazivati</w:t>
      </w:r>
      <w:r w:rsidR="003217F6">
        <w:rPr>
          <w:lang w:val="hr-HR"/>
        </w:rPr>
        <w:t xml:space="preserve"> </w:t>
      </w:r>
      <w:r w:rsidR="00A5594A">
        <w:rPr>
          <w:lang w:val="hr-HR"/>
        </w:rPr>
        <w:t xml:space="preserve">na </w:t>
      </w:r>
      <w:r w:rsidR="003217F6">
        <w:rPr>
          <w:lang w:val="hr-HR"/>
        </w:rPr>
        <w:t>promjen</w:t>
      </w:r>
      <w:r w:rsidR="00FC6E68">
        <w:rPr>
          <w:lang w:val="hr-HR"/>
        </w:rPr>
        <w:t>u</w:t>
      </w:r>
      <w:r w:rsidR="003217F6">
        <w:rPr>
          <w:lang w:val="hr-HR"/>
        </w:rPr>
        <w:t xml:space="preserve"> dokumentovanog cilja subjekta kada je riječ o upravljanju rizicima</w:t>
      </w:r>
      <w:r w:rsidR="00E44438">
        <w:rPr>
          <w:lang w:val="hr-HR"/>
        </w:rPr>
        <w:t xml:space="preserve">, što bi subjektu nalagalo da </w:t>
      </w:r>
      <w:r w:rsidR="00FC6E68">
        <w:rPr>
          <w:lang w:val="hr-HR"/>
        </w:rPr>
        <w:t>ras</w:t>
      </w:r>
      <w:r w:rsidR="00E44438">
        <w:rPr>
          <w:lang w:val="hr-HR"/>
        </w:rPr>
        <w:t>kine postojeći odnos zaštite ili dio istog. U martu 2019. godine, Odbor je zaključio da, kako bi zadovolji</w:t>
      </w:r>
      <w:r w:rsidR="00FC6E68">
        <w:rPr>
          <w:lang w:val="hr-HR"/>
        </w:rPr>
        <w:t xml:space="preserve">o </w:t>
      </w:r>
      <w:r w:rsidR="00E44438">
        <w:rPr>
          <w:lang w:val="hr-HR"/>
        </w:rPr>
        <w:t>zahtjeve MSFI-ja 9, subjekt mora predviđenu transakciju određenu kao zaštićena stavka dokumentovati dovoljno precizno u smislu rokova i veličine da osigura da, kada se takv</w:t>
      </w:r>
      <w:r w:rsidR="00FC6E68">
        <w:rPr>
          <w:lang w:val="hr-HR"/>
        </w:rPr>
        <w:t>a</w:t>
      </w:r>
      <w:r w:rsidR="00E44438">
        <w:rPr>
          <w:lang w:val="hr-HR"/>
        </w:rPr>
        <w:t xml:space="preserve"> transakcij</w:t>
      </w:r>
      <w:r w:rsidR="00FC6E68">
        <w:rPr>
          <w:lang w:val="hr-HR"/>
        </w:rPr>
        <w:t>i desi</w:t>
      </w:r>
      <w:r w:rsidR="00E44438">
        <w:rPr>
          <w:lang w:val="hr-HR"/>
        </w:rPr>
        <w:t>, subjekt mo</w:t>
      </w:r>
      <w:r w:rsidR="00FC6E68">
        <w:rPr>
          <w:lang w:val="hr-HR"/>
        </w:rPr>
        <w:t>že</w:t>
      </w:r>
      <w:r w:rsidR="00E44438">
        <w:rPr>
          <w:lang w:val="hr-HR"/>
        </w:rPr>
        <w:t xml:space="preserve"> </w:t>
      </w:r>
      <w:r w:rsidR="00FC6E68">
        <w:rPr>
          <w:lang w:val="hr-HR"/>
        </w:rPr>
        <w:t>prepoznati</w:t>
      </w:r>
      <w:r w:rsidR="00E44438">
        <w:rPr>
          <w:lang w:val="hr-HR"/>
        </w:rPr>
        <w:t xml:space="preserve"> da li se radi o zaštićenoj transakciji</w:t>
      </w:r>
      <w:r w:rsidR="00FC6E68">
        <w:rPr>
          <w:lang w:val="hr-HR"/>
        </w:rPr>
        <w:t>,</w:t>
      </w:r>
      <w:r w:rsidR="00E44438">
        <w:rPr>
          <w:lang w:val="hr-HR"/>
        </w:rPr>
        <w:t xml:space="preserve"> čak i ako je predviđena transakcija potpuno zaštićena kroz instrument zaštite onda kada se desi.</w:t>
      </w:r>
    </w:p>
    <w:p w14:paraId="2DB4EA88" w14:textId="76BA079F" w:rsidR="00014FB0" w:rsidRPr="00EF5D0A" w:rsidRDefault="00A92D4A" w:rsidP="00EA4922">
      <w:pPr>
        <w:pStyle w:val="IASBNormalnpara"/>
        <w:rPr>
          <w:lang w:val="hr-HR"/>
        </w:rPr>
      </w:pPr>
      <w:r>
        <w:rPr>
          <w:lang w:val="hr-HR"/>
        </w:rPr>
        <w:t>OZ</w:t>
      </w:r>
      <w:r w:rsidR="001C3CBD" w:rsidRPr="00EF5D0A">
        <w:rPr>
          <w:lang w:val="hr-HR"/>
        </w:rPr>
        <w:t>6.663</w:t>
      </w:r>
      <w:r w:rsidR="001C3CBD" w:rsidRPr="00EF5D0A">
        <w:rPr>
          <w:lang w:val="hr-HR"/>
        </w:rPr>
        <w:tab/>
      </w:r>
      <w:r w:rsidR="001C3CBD" w:rsidRPr="00E44438">
        <w:rPr>
          <w:i/>
          <w:iCs/>
          <w:lang w:val="hr-HR"/>
        </w:rPr>
        <w:t>IASB</w:t>
      </w:r>
      <w:r w:rsidR="001C3CBD" w:rsidRPr="00EF5D0A">
        <w:rPr>
          <w:lang w:val="hr-HR"/>
        </w:rPr>
        <w:t xml:space="preserve"> </w:t>
      </w:r>
      <w:r w:rsidR="00E44438">
        <w:rPr>
          <w:lang w:val="hr-HR"/>
        </w:rPr>
        <w:t xml:space="preserve">je smatrao da subjekt koji primjenjuje zahtjeve iz tačke </w:t>
      </w:r>
      <w:r w:rsidR="001C3CBD" w:rsidRPr="00EF5D0A">
        <w:rPr>
          <w:lang w:val="hr-HR"/>
        </w:rPr>
        <w:t xml:space="preserve">6.3.7 </w:t>
      </w:r>
      <w:r w:rsidR="00E44438">
        <w:rPr>
          <w:lang w:val="hr-HR"/>
        </w:rPr>
        <w:t>MSFI-ja</w:t>
      </w:r>
      <w:r w:rsidR="001C3CBD" w:rsidRPr="00EF5D0A">
        <w:rPr>
          <w:lang w:val="hr-HR"/>
        </w:rPr>
        <w:t xml:space="preserve"> 9 </w:t>
      </w:r>
      <w:r w:rsidR="00E44438">
        <w:rPr>
          <w:lang w:val="hr-HR"/>
        </w:rPr>
        <w:t xml:space="preserve">naznačenu nominalnu </w:t>
      </w:r>
      <w:r w:rsidR="00FC6E68">
        <w:rPr>
          <w:lang w:val="hr-HR"/>
        </w:rPr>
        <w:t>vrijednost</w:t>
      </w:r>
      <w:r w:rsidR="00E44438">
        <w:rPr>
          <w:lang w:val="hr-HR"/>
        </w:rPr>
        <w:t xml:space="preserve"> predviđenih transakcija električnom energijom može odrediti samo ako je dovoljno izvjesno da će se zaista i desiti i ako se javljaju dovoljno konzistentno tokom cijelog trajanja odnosa zaštite. </w:t>
      </w:r>
      <w:r w:rsidR="00DF65E9">
        <w:rPr>
          <w:lang w:val="hr-HR"/>
        </w:rPr>
        <w:t xml:space="preserve">Ugovori </w:t>
      </w:r>
      <w:r w:rsidR="00FC6E68">
        <w:rPr>
          <w:lang w:val="hr-HR"/>
        </w:rPr>
        <w:t>o</w:t>
      </w:r>
      <w:r w:rsidR="00DF65E9">
        <w:rPr>
          <w:lang w:val="hr-HR"/>
        </w:rPr>
        <w:t xml:space="preserve"> električn</w:t>
      </w:r>
      <w:r w:rsidR="00FC6E68">
        <w:rPr>
          <w:lang w:val="hr-HR"/>
        </w:rPr>
        <w:t>oj</w:t>
      </w:r>
      <w:r w:rsidR="00DF65E9">
        <w:rPr>
          <w:lang w:val="hr-HR"/>
        </w:rPr>
        <w:t xml:space="preserve"> energij</w:t>
      </w:r>
      <w:r w:rsidR="00FC6E68">
        <w:rPr>
          <w:lang w:val="hr-HR"/>
        </w:rPr>
        <w:t>i</w:t>
      </w:r>
      <w:r w:rsidR="00DF65E9">
        <w:rPr>
          <w:lang w:val="hr-HR"/>
        </w:rPr>
        <w:t xml:space="preserve"> iz izvora zavisnih od prirodnih uslova</w:t>
      </w:r>
      <w:r w:rsidR="00E44438">
        <w:rPr>
          <w:lang w:val="hr-HR"/>
        </w:rPr>
        <w:t xml:space="preserve">, međutim, izlažu subjekt promjenjivosti predmetne </w:t>
      </w:r>
      <w:r w:rsidR="00FC6E68">
        <w:rPr>
          <w:lang w:val="hr-HR"/>
        </w:rPr>
        <w:t>vrijednosti</w:t>
      </w:r>
      <w:r w:rsidR="00E44438">
        <w:rPr>
          <w:lang w:val="hr-HR"/>
        </w:rPr>
        <w:t xml:space="preserve"> električne energije jer izvor iz kojeg se ona proizvodi zavisi od prirod</w:t>
      </w:r>
      <w:r w:rsidR="00FC6E68">
        <w:rPr>
          <w:lang w:val="hr-HR"/>
        </w:rPr>
        <w:t>nih uslova</w:t>
      </w:r>
      <w:r w:rsidR="00E44438">
        <w:rPr>
          <w:lang w:val="hr-HR"/>
        </w:rPr>
        <w:t xml:space="preserve"> koje nije moguće kontrolisati. </w:t>
      </w:r>
      <w:r w:rsidR="00FC6E68">
        <w:rPr>
          <w:lang w:val="hr-HR"/>
        </w:rPr>
        <w:t>Prema tome</w:t>
      </w:r>
      <w:r w:rsidR="00E44438">
        <w:rPr>
          <w:lang w:val="hr-HR"/>
        </w:rPr>
        <w:t xml:space="preserve">, utvrđivanje konkretne </w:t>
      </w:r>
      <w:r w:rsidR="00FC6E68">
        <w:rPr>
          <w:lang w:val="hr-HR"/>
        </w:rPr>
        <w:t xml:space="preserve">vrijednosti </w:t>
      </w:r>
      <w:r w:rsidR="00E44438">
        <w:rPr>
          <w:lang w:val="hr-HR"/>
        </w:rPr>
        <w:t>električne energije koj</w:t>
      </w:r>
      <w:r w:rsidR="00FC6E68">
        <w:rPr>
          <w:lang w:val="hr-HR"/>
        </w:rPr>
        <w:t>e</w:t>
      </w:r>
      <w:r w:rsidR="00E44438">
        <w:rPr>
          <w:lang w:val="hr-HR"/>
        </w:rPr>
        <w:t xml:space="preserve"> </w:t>
      </w:r>
      <w:r w:rsidR="00FC6E68">
        <w:rPr>
          <w:lang w:val="hr-HR"/>
        </w:rPr>
        <w:t xml:space="preserve">bi bilo dovoljno precizno u smislu termina i veličine </w:t>
      </w:r>
      <w:r w:rsidR="00E44438">
        <w:rPr>
          <w:lang w:val="hr-HR"/>
        </w:rPr>
        <w:t xml:space="preserve">bi </w:t>
      </w:r>
      <w:r w:rsidR="00FC6E68">
        <w:rPr>
          <w:lang w:val="hr-HR"/>
        </w:rPr>
        <w:t xml:space="preserve">rezultovalo time da </w:t>
      </w:r>
      <w:r w:rsidR="00E44438">
        <w:rPr>
          <w:lang w:val="hr-HR"/>
        </w:rPr>
        <w:t xml:space="preserve">subjekt može odrediti samo mali dio svojih predviđenih transakcija električnom energijom. </w:t>
      </w:r>
      <w:r w:rsidR="001C3CBD" w:rsidRPr="00E44438">
        <w:rPr>
          <w:i/>
          <w:iCs/>
          <w:lang w:val="hr-HR"/>
        </w:rPr>
        <w:t>IASB</w:t>
      </w:r>
      <w:r w:rsidR="001C3CBD" w:rsidRPr="00EF5D0A">
        <w:rPr>
          <w:lang w:val="hr-HR"/>
        </w:rPr>
        <w:t xml:space="preserve"> </w:t>
      </w:r>
      <w:r w:rsidR="00E44438">
        <w:rPr>
          <w:lang w:val="hr-HR"/>
        </w:rPr>
        <w:t xml:space="preserve">je zaključio da </w:t>
      </w:r>
      <w:r w:rsidR="00DC21A8">
        <w:rPr>
          <w:lang w:val="hr-HR"/>
        </w:rPr>
        <w:t>bi se takve izazove moglo riješiti time što se subjekt</w:t>
      </w:r>
      <w:r w:rsidR="00A0125F">
        <w:rPr>
          <w:lang w:val="hr-HR"/>
        </w:rPr>
        <w:t>ima</w:t>
      </w:r>
      <w:r w:rsidR="00DC21A8">
        <w:rPr>
          <w:lang w:val="hr-HR"/>
        </w:rPr>
        <w:t xml:space="preserve"> dopusti da kao zaštićen</w:t>
      </w:r>
      <w:r w:rsidR="00A0125F">
        <w:rPr>
          <w:lang w:val="hr-HR"/>
        </w:rPr>
        <w:t>e</w:t>
      </w:r>
      <w:r w:rsidR="00DC21A8">
        <w:rPr>
          <w:lang w:val="hr-HR"/>
        </w:rPr>
        <w:t xml:space="preserve"> stavk</w:t>
      </w:r>
      <w:r w:rsidR="00A0125F">
        <w:rPr>
          <w:lang w:val="hr-HR"/>
        </w:rPr>
        <w:t>e</w:t>
      </w:r>
      <w:r w:rsidR="00DC21A8">
        <w:rPr>
          <w:lang w:val="hr-HR"/>
        </w:rPr>
        <w:t xml:space="preserve"> odred</w:t>
      </w:r>
      <w:r w:rsidR="00A0125F">
        <w:rPr>
          <w:lang w:val="hr-HR"/>
        </w:rPr>
        <w:t>e</w:t>
      </w:r>
      <w:r w:rsidR="00DC21A8">
        <w:rPr>
          <w:lang w:val="hr-HR"/>
        </w:rPr>
        <w:t xml:space="preserve"> promjenjivu nominalnu </w:t>
      </w:r>
      <w:r w:rsidR="00A0125F">
        <w:rPr>
          <w:lang w:val="hr-HR"/>
        </w:rPr>
        <w:t>vrijednost</w:t>
      </w:r>
      <w:r w:rsidR="00DC21A8">
        <w:rPr>
          <w:lang w:val="hr-HR"/>
        </w:rPr>
        <w:t xml:space="preserve"> električne energije na koju se odnosi pripadajući instrument zaštite. </w:t>
      </w:r>
    </w:p>
    <w:p w14:paraId="10963156" w14:textId="611D1C36" w:rsidR="00014FB0" w:rsidRPr="00EF5D0A" w:rsidRDefault="000B4D55" w:rsidP="00EA4922">
      <w:pPr>
        <w:pStyle w:val="IASBSectionTitle4Ind"/>
        <w:spacing w:beforeLines="80" w:before="192"/>
        <w:rPr>
          <w:lang w:val="hr-HR"/>
        </w:rPr>
      </w:pPr>
      <w:bookmarkStart w:id="46" w:name="unique_130"/>
      <w:r>
        <w:rPr>
          <w:lang w:val="hr-HR"/>
        </w:rPr>
        <w:t>Identifikovanje</w:t>
      </w:r>
      <w:r w:rsidR="00DC21A8">
        <w:rPr>
          <w:lang w:val="hr-HR"/>
        </w:rPr>
        <w:t xml:space="preserve"> i određivanje zaštićene trans</w:t>
      </w:r>
      <w:bookmarkEnd w:id="46"/>
      <w:r w:rsidR="00DC21A8">
        <w:rPr>
          <w:lang w:val="hr-HR"/>
        </w:rPr>
        <w:t xml:space="preserve">akcije </w:t>
      </w:r>
    </w:p>
    <w:p w14:paraId="6CEF601E" w14:textId="136382F6" w:rsidR="00014FB0" w:rsidRPr="00EF5D0A" w:rsidRDefault="00A92D4A" w:rsidP="00EA4922">
      <w:pPr>
        <w:pStyle w:val="IASBNormalnpara"/>
        <w:spacing w:before="80"/>
        <w:rPr>
          <w:lang w:val="hr-HR"/>
        </w:rPr>
      </w:pPr>
      <w:r>
        <w:rPr>
          <w:lang w:val="hr-HR"/>
        </w:rPr>
        <w:t>OZ</w:t>
      </w:r>
      <w:r w:rsidR="001C3CBD" w:rsidRPr="00EF5D0A">
        <w:rPr>
          <w:lang w:val="hr-HR"/>
        </w:rPr>
        <w:t>6.664</w:t>
      </w:r>
      <w:r w:rsidR="001C3CBD" w:rsidRPr="00EF5D0A">
        <w:rPr>
          <w:lang w:val="hr-HR"/>
        </w:rPr>
        <w:tab/>
      </w:r>
      <w:r w:rsidR="00DC21A8">
        <w:rPr>
          <w:lang w:val="hr-HR"/>
        </w:rPr>
        <w:t>Dionic</w:t>
      </w:r>
      <w:r w:rsidR="001B03F4">
        <w:rPr>
          <w:lang w:val="hr-HR"/>
        </w:rPr>
        <w:t>i</w:t>
      </w:r>
      <w:r w:rsidR="00DC21A8">
        <w:rPr>
          <w:lang w:val="hr-HR"/>
        </w:rPr>
        <w:t xml:space="preserve"> su sa </w:t>
      </w:r>
      <w:r w:rsidR="00DC21A8" w:rsidRPr="00DC21A8">
        <w:rPr>
          <w:i/>
          <w:iCs/>
          <w:lang w:val="hr-HR"/>
        </w:rPr>
        <w:t>IASB</w:t>
      </w:r>
      <w:r w:rsidR="00DC21A8">
        <w:rPr>
          <w:lang w:val="hr-HR"/>
        </w:rPr>
        <w:t xml:space="preserve">-om podijelili </w:t>
      </w:r>
      <w:r w:rsidR="00A0125F">
        <w:rPr>
          <w:lang w:val="hr-HR"/>
        </w:rPr>
        <w:t>d</w:t>
      </w:r>
      <w:r w:rsidR="00DC21A8">
        <w:rPr>
          <w:lang w:val="hr-HR"/>
        </w:rPr>
        <w:t xml:space="preserve">a </w:t>
      </w:r>
      <w:r w:rsidR="001B03F4">
        <w:rPr>
          <w:lang w:val="hr-HR"/>
        </w:rPr>
        <w:t xml:space="preserve">je cilj subjekata u pogledu upravljanja rizicima to </w:t>
      </w:r>
      <w:r w:rsidR="00A0125F">
        <w:rPr>
          <w:lang w:val="hr-HR"/>
        </w:rPr>
        <w:t xml:space="preserve">da </w:t>
      </w:r>
      <w:r w:rsidR="001B03F4">
        <w:rPr>
          <w:lang w:val="hr-HR"/>
        </w:rPr>
        <w:t xml:space="preserve">osiguraju zaštitu samo od cjenovnog rizika </w:t>
      </w:r>
      <w:r w:rsidR="00A0125F">
        <w:rPr>
          <w:lang w:val="hr-HR"/>
        </w:rPr>
        <w:t xml:space="preserve">za </w:t>
      </w:r>
      <w:r w:rsidR="001B03F4">
        <w:rPr>
          <w:lang w:val="hr-HR"/>
        </w:rPr>
        <w:t xml:space="preserve">predviđene nabavke električne energije a ne i od neizvjesnosti u pogledu promjenjivosti </w:t>
      </w:r>
      <w:r w:rsidR="00A0125F">
        <w:rPr>
          <w:lang w:val="hr-HR"/>
        </w:rPr>
        <w:t xml:space="preserve">vrijednosti </w:t>
      </w:r>
      <w:r w:rsidR="001B03F4">
        <w:rPr>
          <w:lang w:val="hr-HR"/>
        </w:rPr>
        <w:t xml:space="preserve">električne energije koja će biti isporučena. </w:t>
      </w:r>
      <w:r w:rsidR="004F6AD9">
        <w:rPr>
          <w:lang w:val="hr-HR"/>
        </w:rPr>
        <w:t xml:space="preserve"> Prema tome, o</w:t>
      </w:r>
      <w:r w:rsidR="00A0125F">
        <w:rPr>
          <w:lang w:val="hr-HR"/>
        </w:rPr>
        <w:t>dređivanje</w:t>
      </w:r>
      <w:r w:rsidR="004F6AD9">
        <w:rPr>
          <w:lang w:val="hr-HR"/>
        </w:rPr>
        <w:t xml:space="preserve"> (promjenjive) </w:t>
      </w:r>
      <w:r w:rsidR="00A0125F">
        <w:rPr>
          <w:lang w:val="hr-HR"/>
        </w:rPr>
        <w:t>vrijednosti</w:t>
      </w:r>
      <w:r w:rsidR="004F6AD9">
        <w:rPr>
          <w:lang w:val="hr-HR"/>
        </w:rPr>
        <w:t xml:space="preserve"> predviđenih nabavki koje su usklađene sa (promjenjivim) </w:t>
      </w:r>
      <w:r w:rsidR="00A0125F">
        <w:rPr>
          <w:lang w:val="hr-HR"/>
        </w:rPr>
        <w:t>vrijednostima</w:t>
      </w:r>
      <w:r w:rsidR="004F6AD9">
        <w:rPr>
          <w:lang w:val="hr-HR"/>
        </w:rPr>
        <w:t xml:space="preserve"> koje se očekuje da isporuči elektrana </w:t>
      </w:r>
      <w:r w:rsidR="00A0125F">
        <w:rPr>
          <w:lang w:val="hr-HR"/>
        </w:rPr>
        <w:t xml:space="preserve">odgovara </w:t>
      </w:r>
      <w:r w:rsidR="004F6AD9">
        <w:rPr>
          <w:lang w:val="hr-HR"/>
        </w:rPr>
        <w:t>cilj</w:t>
      </w:r>
      <w:r w:rsidR="00A0125F">
        <w:rPr>
          <w:lang w:val="hr-HR"/>
        </w:rPr>
        <w:t>u</w:t>
      </w:r>
      <w:r w:rsidR="004F6AD9">
        <w:rPr>
          <w:lang w:val="hr-HR"/>
        </w:rPr>
        <w:t xml:space="preserve"> subjekta u pogledu upravljanja rizicima. Taj cilj, dakle, podrazumijeva prihvatanje da nominalna </w:t>
      </w:r>
      <w:r w:rsidR="00A0125F">
        <w:rPr>
          <w:lang w:val="hr-HR"/>
        </w:rPr>
        <w:t>vrijednost</w:t>
      </w:r>
      <w:r w:rsidR="004F6AD9">
        <w:rPr>
          <w:lang w:val="hr-HR"/>
        </w:rPr>
        <w:t xml:space="preserve"> označena kao zaštićena stavka neće uvijek obavezno biti usklađena sa očekivanim predviđenim nabavkama. </w:t>
      </w:r>
      <w:r w:rsidR="001C3CBD" w:rsidRPr="004F6AD9">
        <w:rPr>
          <w:i/>
          <w:iCs/>
          <w:lang w:val="hr-HR"/>
        </w:rPr>
        <w:t>IASB</w:t>
      </w:r>
      <w:r w:rsidR="001C3CBD" w:rsidRPr="00EF5D0A">
        <w:rPr>
          <w:lang w:val="hr-HR"/>
        </w:rPr>
        <w:t xml:space="preserve"> </w:t>
      </w:r>
      <w:r w:rsidR="004F6AD9">
        <w:rPr>
          <w:lang w:val="hr-HR"/>
        </w:rPr>
        <w:t>je zaključi</w:t>
      </w:r>
      <w:r w:rsidR="00A0125F">
        <w:rPr>
          <w:lang w:val="hr-HR"/>
        </w:rPr>
        <w:t>o</w:t>
      </w:r>
      <w:r w:rsidR="004F6AD9">
        <w:rPr>
          <w:lang w:val="hr-HR"/>
        </w:rPr>
        <w:t xml:space="preserve"> da, kada procjenjuje da li postoji neki ekonomski odnos, subjekt treba procijeniti samo promijene vrijednosti koje se odnose na zaštitu od rizika </w:t>
      </w:r>
      <w:r w:rsidR="00A0125F">
        <w:rPr>
          <w:lang w:val="hr-HR"/>
        </w:rPr>
        <w:t xml:space="preserve">(u ovom slučaju, cjenovnog rizika) </w:t>
      </w:r>
      <w:r w:rsidR="004F6AD9">
        <w:rPr>
          <w:lang w:val="hr-HR"/>
        </w:rPr>
        <w:t>o</w:t>
      </w:r>
      <w:r w:rsidR="00A0125F">
        <w:rPr>
          <w:lang w:val="hr-HR"/>
        </w:rPr>
        <w:t>dređene</w:t>
      </w:r>
      <w:r w:rsidR="004F6AD9">
        <w:rPr>
          <w:lang w:val="hr-HR"/>
        </w:rPr>
        <w:t xml:space="preserve"> (promjenjive) </w:t>
      </w:r>
      <w:r w:rsidR="00A0125F">
        <w:rPr>
          <w:lang w:val="hr-HR"/>
        </w:rPr>
        <w:t xml:space="preserve">vrijednosti, odnosno iznosa. </w:t>
      </w:r>
      <w:r w:rsidR="001C3CBD" w:rsidRPr="004F6AD9">
        <w:rPr>
          <w:i/>
          <w:iCs/>
          <w:lang w:val="hr-HR"/>
        </w:rPr>
        <w:t>IASB</w:t>
      </w:r>
      <w:r w:rsidR="001C3CBD" w:rsidRPr="00EF5D0A">
        <w:rPr>
          <w:lang w:val="hr-HR"/>
        </w:rPr>
        <w:t xml:space="preserve"> </w:t>
      </w:r>
      <w:r w:rsidR="004F6AD9">
        <w:rPr>
          <w:lang w:val="hr-HR"/>
        </w:rPr>
        <w:t xml:space="preserve">je </w:t>
      </w:r>
      <w:r w:rsidR="00A0125F">
        <w:rPr>
          <w:lang w:val="hr-HR"/>
        </w:rPr>
        <w:t>konstatovao</w:t>
      </w:r>
      <w:r w:rsidR="004F6AD9">
        <w:rPr>
          <w:lang w:val="hr-HR"/>
        </w:rPr>
        <w:t xml:space="preserve"> i to da MSFI</w:t>
      </w:r>
      <w:r w:rsidR="001C3CBD" w:rsidRPr="00EF5D0A">
        <w:rPr>
          <w:lang w:val="hr-HR"/>
        </w:rPr>
        <w:t xml:space="preserve"> 9 </w:t>
      </w:r>
      <w:r w:rsidR="004F6AD9">
        <w:rPr>
          <w:lang w:val="hr-HR"/>
        </w:rPr>
        <w:t xml:space="preserve">ne zahtijeva da odnos zaštite od rizika bude savršeno učinkovit (na primjer, u zaštiti od cjenovnog rizika) da bi zadovoljavao uslove za primjenu računovodstva zaštite od rizika. </w:t>
      </w:r>
    </w:p>
    <w:p w14:paraId="364761B9" w14:textId="714A97B5" w:rsidR="00014FB0" w:rsidRPr="00EF5D0A" w:rsidRDefault="00A92D4A" w:rsidP="00EA4922">
      <w:pPr>
        <w:pStyle w:val="IASBNormalnpara"/>
        <w:spacing w:before="80"/>
        <w:rPr>
          <w:lang w:val="hr-HR"/>
        </w:rPr>
      </w:pPr>
      <w:r>
        <w:rPr>
          <w:lang w:val="hr-HR"/>
        </w:rPr>
        <w:t>OZ</w:t>
      </w:r>
      <w:r w:rsidR="001C3CBD" w:rsidRPr="00EF5D0A">
        <w:rPr>
          <w:lang w:val="hr-HR"/>
        </w:rPr>
        <w:t>6.665</w:t>
      </w:r>
      <w:r w:rsidR="001C3CBD" w:rsidRPr="00EF5D0A">
        <w:rPr>
          <w:lang w:val="hr-HR"/>
        </w:rPr>
        <w:tab/>
      </w:r>
      <w:r w:rsidR="001C3CBD" w:rsidRPr="004F6AD9">
        <w:rPr>
          <w:i/>
          <w:iCs/>
          <w:lang w:val="hr-HR"/>
        </w:rPr>
        <w:t>IASB</w:t>
      </w:r>
      <w:r w:rsidR="001C3CBD" w:rsidRPr="00EF5D0A">
        <w:rPr>
          <w:lang w:val="hr-HR"/>
        </w:rPr>
        <w:t xml:space="preserve"> </w:t>
      </w:r>
      <w:r w:rsidR="004F6AD9">
        <w:rPr>
          <w:lang w:val="hr-HR"/>
        </w:rPr>
        <w:t xml:space="preserve">je smatrao da dopuštanje subjektu da </w:t>
      </w:r>
      <w:r w:rsidR="007F22B9">
        <w:rPr>
          <w:lang w:val="hr-HR"/>
        </w:rPr>
        <w:t>odredi</w:t>
      </w:r>
      <w:r w:rsidR="004F6AD9">
        <w:rPr>
          <w:lang w:val="hr-HR"/>
        </w:rPr>
        <w:t xml:space="preserve"> promjenjivu nominalnu </w:t>
      </w:r>
      <w:r w:rsidR="007F22B9">
        <w:rPr>
          <w:lang w:val="hr-HR"/>
        </w:rPr>
        <w:t>vrijednost</w:t>
      </w:r>
      <w:r w:rsidR="004F6AD9">
        <w:rPr>
          <w:lang w:val="hr-HR"/>
        </w:rPr>
        <w:t xml:space="preserve"> električne energije kao zaštićenu stavku nije isto što i </w:t>
      </w:r>
      <w:r w:rsidR="007F22B9">
        <w:rPr>
          <w:lang w:val="hr-HR"/>
        </w:rPr>
        <w:t>određivanje</w:t>
      </w:r>
      <w:r w:rsidR="004F6AD9">
        <w:rPr>
          <w:lang w:val="hr-HR"/>
        </w:rPr>
        <w:t xml:space="preserve"> apsolutne količine koja se mijenja od jednog do drugog perioda </w:t>
      </w:r>
      <w:r w:rsidR="001C3CBD" w:rsidRPr="00EF5D0A">
        <w:rPr>
          <w:lang w:val="hr-HR"/>
        </w:rPr>
        <w:t>(</w:t>
      </w:r>
      <w:r w:rsidR="007F22B9">
        <w:rPr>
          <w:lang w:val="hr-HR"/>
        </w:rPr>
        <w:t xml:space="preserve">poput </w:t>
      </w:r>
      <w:r w:rsidR="001C3CBD" w:rsidRPr="00EF5D0A">
        <w:rPr>
          <w:lang w:val="hr-HR"/>
        </w:rPr>
        <w:t xml:space="preserve">100 MWh </w:t>
      </w:r>
      <w:r w:rsidR="004F6AD9">
        <w:rPr>
          <w:lang w:val="hr-HR"/>
        </w:rPr>
        <w:t xml:space="preserve">za Prvi period i </w:t>
      </w:r>
      <w:r w:rsidR="001C3CBD" w:rsidRPr="00EF5D0A">
        <w:rPr>
          <w:lang w:val="hr-HR"/>
        </w:rPr>
        <w:t>130 MWh</w:t>
      </w:r>
      <w:r w:rsidR="004F6AD9">
        <w:rPr>
          <w:lang w:val="hr-HR"/>
        </w:rPr>
        <w:t xml:space="preserve"> za Drugi period</w:t>
      </w:r>
      <w:r w:rsidR="001C3CBD" w:rsidRPr="00EF5D0A">
        <w:rPr>
          <w:lang w:val="hr-HR"/>
        </w:rPr>
        <w:t xml:space="preserve">). </w:t>
      </w:r>
      <w:r w:rsidR="004F6AD9">
        <w:rPr>
          <w:lang w:val="hr-HR"/>
        </w:rPr>
        <w:t xml:space="preserve">Pojasnili su da se promjenjiva nominalna </w:t>
      </w:r>
      <w:r w:rsidR="007F22B9">
        <w:rPr>
          <w:lang w:val="hr-HR"/>
        </w:rPr>
        <w:t>vrijednost</w:t>
      </w:r>
      <w:r w:rsidR="004F6AD9">
        <w:rPr>
          <w:lang w:val="hr-HR"/>
        </w:rPr>
        <w:t xml:space="preserve"> predviđenih transakcija koja će biti određena kao zaštićena stavka odnosi na predviđene transakcije električnom energijom, što mora biti usklađeno sa nominalnim </w:t>
      </w:r>
      <w:r w:rsidR="007F22B9">
        <w:rPr>
          <w:lang w:val="hr-HR"/>
        </w:rPr>
        <w:t xml:space="preserve">vrijednostima </w:t>
      </w:r>
      <w:r w:rsidR="004F6AD9">
        <w:rPr>
          <w:lang w:val="hr-HR"/>
        </w:rPr>
        <w:t xml:space="preserve">za koje se očekuje da ih isporuči elektrana </w:t>
      </w:r>
      <w:r w:rsidR="009C4621">
        <w:rPr>
          <w:lang w:val="hr-HR"/>
        </w:rPr>
        <w:t>navedena u</w:t>
      </w:r>
      <w:r w:rsidR="004F6AD9">
        <w:rPr>
          <w:lang w:val="hr-HR"/>
        </w:rPr>
        <w:t xml:space="preserve"> instrumentu zaštite. U takvom slučaju, nominalna</w:t>
      </w:r>
      <w:r w:rsidR="009C4621">
        <w:rPr>
          <w:lang w:val="hr-HR"/>
        </w:rPr>
        <w:t xml:space="preserve"> vrijednost</w:t>
      </w:r>
      <w:r w:rsidR="004F6AD9">
        <w:rPr>
          <w:lang w:val="hr-HR"/>
        </w:rPr>
        <w:t xml:space="preserve"> koj</w:t>
      </w:r>
      <w:r w:rsidR="009C4621">
        <w:rPr>
          <w:lang w:val="hr-HR"/>
        </w:rPr>
        <w:t>a</w:t>
      </w:r>
      <w:r w:rsidR="004F6AD9">
        <w:rPr>
          <w:lang w:val="hr-HR"/>
        </w:rPr>
        <w:t xml:space="preserve"> se očekuje da bude isporučena se može odnositi bilo na isporuku koju će </w:t>
      </w:r>
      <w:r w:rsidR="005C6F5A">
        <w:rPr>
          <w:lang w:val="hr-HR"/>
        </w:rPr>
        <w:t xml:space="preserve">pomenuta elektrana izvršiti u korist druge ugovorne strane (kao što je slučaj kod sporazuma o </w:t>
      </w:r>
      <w:r w:rsidR="009C4621">
        <w:rPr>
          <w:lang w:val="hr-HR"/>
        </w:rPr>
        <w:t xml:space="preserve">fizičkoj </w:t>
      </w:r>
      <w:r w:rsidR="005C6F5A">
        <w:rPr>
          <w:lang w:val="hr-HR"/>
        </w:rPr>
        <w:t xml:space="preserve">nabavci električne energije) ili na isporuku koju će ta elektrana izvršiti na tržištu. </w:t>
      </w:r>
    </w:p>
    <w:p w14:paraId="6B7CD5BD" w14:textId="125F920C" w:rsidR="00014FB0" w:rsidRPr="00EF5D0A" w:rsidRDefault="00A92D4A" w:rsidP="00EA4922">
      <w:pPr>
        <w:pStyle w:val="IASBNormalnpara"/>
        <w:spacing w:before="80"/>
        <w:rPr>
          <w:lang w:val="hr-HR"/>
        </w:rPr>
      </w:pPr>
      <w:r>
        <w:rPr>
          <w:lang w:val="hr-HR"/>
        </w:rPr>
        <w:t>OZ</w:t>
      </w:r>
      <w:r w:rsidR="001C3CBD" w:rsidRPr="00EF5D0A">
        <w:rPr>
          <w:lang w:val="hr-HR"/>
        </w:rPr>
        <w:t>6.666</w:t>
      </w:r>
      <w:r w:rsidR="001C3CBD" w:rsidRPr="00EF5D0A">
        <w:rPr>
          <w:lang w:val="hr-HR"/>
        </w:rPr>
        <w:tab/>
      </w:r>
      <w:r w:rsidR="001C3CBD" w:rsidRPr="005C6F5A">
        <w:rPr>
          <w:i/>
          <w:iCs/>
          <w:lang w:val="hr-HR"/>
        </w:rPr>
        <w:t>IASB</w:t>
      </w:r>
      <w:r w:rsidR="001C3CBD" w:rsidRPr="00EF5D0A">
        <w:rPr>
          <w:lang w:val="hr-HR"/>
        </w:rPr>
        <w:t xml:space="preserve"> </w:t>
      </w:r>
      <w:r w:rsidR="005C6F5A">
        <w:rPr>
          <w:lang w:val="hr-HR"/>
        </w:rPr>
        <w:t xml:space="preserve">je konstatirao i to da MSFI </w:t>
      </w:r>
      <w:r w:rsidR="001C3CBD" w:rsidRPr="00EF5D0A">
        <w:rPr>
          <w:lang w:val="hr-HR"/>
        </w:rPr>
        <w:t xml:space="preserve">9 </w:t>
      </w:r>
      <w:r w:rsidR="005C6F5A">
        <w:rPr>
          <w:lang w:val="hr-HR"/>
        </w:rPr>
        <w:t xml:space="preserve">ne zahtijeva da termini i iznosi novčanih tokova prema zaštićenoj stavki budu savršeno usklađeni sa novčanim tokovima instrumenta zaštite. U skladu s tim, bili su stava da, ako </w:t>
      </w:r>
      <w:r w:rsidR="00EA4922">
        <w:rPr>
          <w:lang w:val="hr-HR"/>
        </w:rPr>
        <w:t xml:space="preserve">bi se </w:t>
      </w:r>
      <w:r w:rsidR="005C6F5A">
        <w:rPr>
          <w:lang w:val="hr-HR"/>
        </w:rPr>
        <w:t>subjekt</w:t>
      </w:r>
      <w:r w:rsidR="00EA4922">
        <w:rPr>
          <w:lang w:val="hr-HR"/>
        </w:rPr>
        <w:t>ima</w:t>
      </w:r>
      <w:r w:rsidR="005C6F5A">
        <w:rPr>
          <w:lang w:val="hr-HR"/>
        </w:rPr>
        <w:t xml:space="preserve"> </w:t>
      </w:r>
      <w:r w:rsidR="00EA4922">
        <w:rPr>
          <w:lang w:val="hr-HR"/>
        </w:rPr>
        <w:t xml:space="preserve">dopustilo da </w:t>
      </w:r>
      <w:r w:rsidR="005C6F5A">
        <w:rPr>
          <w:lang w:val="hr-HR"/>
        </w:rPr>
        <w:t>uskla</w:t>
      </w:r>
      <w:r w:rsidR="00EA4922">
        <w:rPr>
          <w:lang w:val="hr-HR"/>
        </w:rPr>
        <w:t>de</w:t>
      </w:r>
      <w:r w:rsidR="005C6F5A">
        <w:rPr>
          <w:lang w:val="hr-HR"/>
        </w:rPr>
        <w:t xml:space="preserve"> nominalnu </w:t>
      </w:r>
      <w:r w:rsidR="00EA4922">
        <w:rPr>
          <w:lang w:val="hr-HR"/>
        </w:rPr>
        <w:t>vrijednost</w:t>
      </w:r>
      <w:r w:rsidR="005C6F5A">
        <w:rPr>
          <w:lang w:val="hr-HR"/>
        </w:rPr>
        <w:t xml:space="preserve"> predviđenih transakcija </w:t>
      </w:r>
      <w:r w:rsidR="00EA4922">
        <w:rPr>
          <w:lang w:val="hr-HR"/>
        </w:rPr>
        <w:t>određenu</w:t>
      </w:r>
      <w:r w:rsidR="005C6F5A">
        <w:rPr>
          <w:lang w:val="hr-HR"/>
        </w:rPr>
        <w:t xml:space="preserve"> kao zaštićena stavka sa promjenjivom</w:t>
      </w:r>
      <w:r w:rsidR="00EA4922">
        <w:rPr>
          <w:lang w:val="hr-HR"/>
        </w:rPr>
        <w:t xml:space="preserve"> vrijednošću </w:t>
      </w:r>
      <w:r w:rsidR="005C6F5A">
        <w:rPr>
          <w:lang w:val="hr-HR"/>
        </w:rPr>
        <w:t xml:space="preserve">električne energije iz </w:t>
      </w:r>
      <w:r w:rsidR="00EA4922">
        <w:rPr>
          <w:lang w:val="hr-HR"/>
        </w:rPr>
        <w:t xml:space="preserve">izvora zavisnih od </w:t>
      </w:r>
      <w:r w:rsidR="005C6F5A">
        <w:rPr>
          <w:lang w:val="hr-HR"/>
        </w:rPr>
        <w:t xml:space="preserve">prirodnih </w:t>
      </w:r>
      <w:r w:rsidR="00EA4922">
        <w:rPr>
          <w:lang w:val="hr-HR"/>
        </w:rPr>
        <w:t>uslova</w:t>
      </w:r>
      <w:r w:rsidR="005C6F5A">
        <w:rPr>
          <w:lang w:val="hr-HR"/>
        </w:rPr>
        <w:t xml:space="preserve"> za koju se očekuje da je isporuči elektrana </w:t>
      </w:r>
      <w:r w:rsidR="00EA4922">
        <w:rPr>
          <w:lang w:val="hr-HR"/>
        </w:rPr>
        <w:t>iz</w:t>
      </w:r>
      <w:r w:rsidR="005C6F5A">
        <w:rPr>
          <w:lang w:val="hr-HR"/>
        </w:rPr>
        <w:t xml:space="preserve"> instrument</w:t>
      </w:r>
      <w:r w:rsidR="00EA4922">
        <w:rPr>
          <w:lang w:val="hr-HR"/>
        </w:rPr>
        <w:t>a</w:t>
      </w:r>
      <w:r w:rsidR="005C6F5A">
        <w:rPr>
          <w:lang w:val="hr-HR"/>
        </w:rPr>
        <w:t xml:space="preserve"> zaštite, ekonomski odnos bi još uvijek mogao postojati.</w:t>
      </w:r>
    </w:p>
    <w:p w14:paraId="2F20A434" w14:textId="37090F5B" w:rsidR="00014FB0" w:rsidRPr="00EF5D0A" w:rsidRDefault="00A92D4A" w:rsidP="00EA4922">
      <w:pPr>
        <w:pStyle w:val="IASBNormalnpara"/>
        <w:spacing w:before="80"/>
        <w:rPr>
          <w:lang w:val="hr-HR"/>
        </w:rPr>
      </w:pPr>
      <w:r>
        <w:rPr>
          <w:lang w:val="hr-HR"/>
        </w:rPr>
        <w:t>OZ</w:t>
      </w:r>
      <w:r w:rsidR="001C3CBD" w:rsidRPr="00EF5D0A">
        <w:rPr>
          <w:lang w:val="hr-HR"/>
        </w:rPr>
        <w:t>6.667</w:t>
      </w:r>
      <w:r w:rsidR="001C3CBD" w:rsidRPr="00EF5D0A">
        <w:rPr>
          <w:lang w:val="hr-HR"/>
        </w:rPr>
        <w:tab/>
      </w:r>
      <w:r w:rsidR="001C3CBD" w:rsidRPr="005C6F5A">
        <w:rPr>
          <w:i/>
          <w:iCs/>
          <w:lang w:val="hr-HR"/>
        </w:rPr>
        <w:t>IASB</w:t>
      </w:r>
      <w:r w:rsidR="001C3CBD" w:rsidRPr="00EF5D0A">
        <w:rPr>
          <w:lang w:val="hr-HR"/>
        </w:rPr>
        <w:t xml:space="preserve"> </w:t>
      </w:r>
      <w:r w:rsidR="005C6F5A">
        <w:rPr>
          <w:lang w:val="hr-HR"/>
        </w:rPr>
        <w:t>je zaključio da je takvo o</w:t>
      </w:r>
      <w:r w:rsidR="00EA4922">
        <w:rPr>
          <w:lang w:val="hr-HR"/>
        </w:rPr>
        <w:t>dređivanje</w:t>
      </w:r>
      <w:r w:rsidR="005C6F5A">
        <w:rPr>
          <w:lang w:val="hr-HR"/>
        </w:rPr>
        <w:t xml:space="preserve"> u skladu sa MSFI-jem 9, koji nalaže da se zaštićena stavka dovoljno precizno dokumentira u smislu njenih rokova i veličine. Koristeći ovu opciju u pogledu </w:t>
      </w:r>
      <w:r w:rsidR="00EA4922">
        <w:rPr>
          <w:lang w:val="hr-HR"/>
        </w:rPr>
        <w:t>određivanja</w:t>
      </w:r>
      <w:r w:rsidR="005C6F5A">
        <w:rPr>
          <w:lang w:val="hr-HR"/>
        </w:rPr>
        <w:t xml:space="preserve">, subjekt mora naznačiti period tokom kojeg se očekuje da nastane promjenjiva nominalna </w:t>
      </w:r>
      <w:r w:rsidR="00EA4922">
        <w:rPr>
          <w:lang w:val="hr-HR"/>
        </w:rPr>
        <w:t>vrijednost</w:t>
      </w:r>
      <w:r w:rsidR="005C6F5A">
        <w:rPr>
          <w:lang w:val="hr-HR"/>
        </w:rPr>
        <w:t xml:space="preserve"> predviđene transakcije o</w:t>
      </w:r>
      <w:r w:rsidR="00EA4922">
        <w:rPr>
          <w:lang w:val="hr-HR"/>
        </w:rPr>
        <w:t>dređene</w:t>
      </w:r>
      <w:r w:rsidR="005C6F5A">
        <w:rPr>
          <w:lang w:val="hr-HR"/>
        </w:rPr>
        <w:t xml:space="preserve"> kao zaštićena stavka, navodeći razumno precizan i u pravilu mali raspon od </w:t>
      </w:r>
      <w:r w:rsidR="005C6F5A">
        <w:rPr>
          <w:lang w:val="hr-HR"/>
        </w:rPr>
        <w:lastRenderedPageBreak/>
        <w:t>naj</w:t>
      </w:r>
      <w:r w:rsidR="00EA4922">
        <w:rPr>
          <w:lang w:val="hr-HR"/>
        </w:rPr>
        <w:t>izglednijeg</w:t>
      </w:r>
      <w:r w:rsidR="005C6F5A">
        <w:rPr>
          <w:lang w:val="hr-HR"/>
        </w:rPr>
        <w:t xml:space="preserve"> datuma</w:t>
      </w:r>
      <w:r w:rsidR="004F780B">
        <w:rPr>
          <w:lang w:val="hr-HR"/>
        </w:rPr>
        <w:t>, kao osnov</w:t>
      </w:r>
      <w:r w:rsidR="00EA4922">
        <w:rPr>
          <w:lang w:val="hr-HR"/>
        </w:rPr>
        <w:t>e</w:t>
      </w:r>
      <w:r w:rsidR="004F780B">
        <w:rPr>
          <w:lang w:val="hr-HR"/>
        </w:rPr>
        <w:t xml:space="preserve"> za procjenu učinkovitosti zaštite. U isto vrijeme, subjekt mora naznačiti i veličinu zaštićene stavke, navodeći njeno porijeklo (to jeste, promjenjivu </w:t>
      </w:r>
      <w:r w:rsidR="00EA4922">
        <w:rPr>
          <w:lang w:val="hr-HR"/>
        </w:rPr>
        <w:t xml:space="preserve">vrijednost </w:t>
      </w:r>
      <w:r w:rsidR="004F780B">
        <w:rPr>
          <w:lang w:val="hr-HR"/>
        </w:rPr>
        <w:t xml:space="preserve">koju se očekuje da isporuči elektrana). </w:t>
      </w:r>
      <w:r w:rsidR="00937F45">
        <w:rPr>
          <w:lang w:val="hr-HR"/>
        </w:rPr>
        <w:t xml:space="preserve">Iako su dopustili da se promjenjiva nominalna </w:t>
      </w:r>
      <w:r w:rsidR="00EA4922">
        <w:rPr>
          <w:lang w:val="hr-HR"/>
        </w:rPr>
        <w:t>vrijednost</w:t>
      </w:r>
      <w:r w:rsidR="00937F45">
        <w:rPr>
          <w:lang w:val="hr-HR"/>
        </w:rPr>
        <w:t xml:space="preserve"> predviđene transakcije o</w:t>
      </w:r>
      <w:r w:rsidR="00EA4922">
        <w:rPr>
          <w:lang w:val="hr-HR"/>
        </w:rPr>
        <w:t>dredi</w:t>
      </w:r>
      <w:r w:rsidR="00937F45">
        <w:rPr>
          <w:lang w:val="hr-HR"/>
        </w:rPr>
        <w:t xml:space="preserve"> kao zaštićena stavka, </w:t>
      </w:r>
      <w:r w:rsidR="001C3CBD" w:rsidRPr="00937F45">
        <w:rPr>
          <w:i/>
          <w:iCs/>
          <w:lang w:val="hr-HR"/>
        </w:rPr>
        <w:t>IASB</w:t>
      </w:r>
      <w:r w:rsidR="001C3CBD" w:rsidRPr="00EF5D0A">
        <w:rPr>
          <w:lang w:val="hr-HR"/>
        </w:rPr>
        <w:t xml:space="preserve"> </w:t>
      </w:r>
      <w:r w:rsidR="00937F45">
        <w:rPr>
          <w:lang w:val="hr-HR"/>
        </w:rPr>
        <w:t>je bio stava da je zaštićenu stavku i dalje moguće dovoljno precizno identi</w:t>
      </w:r>
      <w:r w:rsidR="00EA4922">
        <w:rPr>
          <w:lang w:val="hr-HR"/>
        </w:rPr>
        <w:t>fikovati</w:t>
      </w:r>
      <w:r w:rsidR="00937F45">
        <w:rPr>
          <w:lang w:val="hr-HR"/>
        </w:rPr>
        <w:t xml:space="preserve"> jer nastaje u svakom periodu, to jeste, elektrana naznačena u instrumentu zaštite isporučuje električnu energiju iz </w:t>
      </w:r>
      <w:r w:rsidR="00EA4922">
        <w:rPr>
          <w:lang w:val="hr-HR"/>
        </w:rPr>
        <w:t xml:space="preserve">izvora zavisnih od </w:t>
      </w:r>
      <w:r w:rsidR="00937F45">
        <w:rPr>
          <w:lang w:val="hr-HR"/>
        </w:rPr>
        <w:t xml:space="preserve">prirodnih </w:t>
      </w:r>
      <w:r w:rsidR="00EA4922">
        <w:rPr>
          <w:lang w:val="hr-HR"/>
        </w:rPr>
        <w:t xml:space="preserve">uslova </w:t>
      </w:r>
      <w:r w:rsidR="00937F45">
        <w:rPr>
          <w:lang w:val="hr-HR"/>
        </w:rPr>
        <w:t xml:space="preserve">na tržište ili direktno drugoj ugovornoj strani i, prema tome, nominalna </w:t>
      </w:r>
      <w:r w:rsidR="00EA4922">
        <w:rPr>
          <w:lang w:val="hr-HR"/>
        </w:rPr>
        <w:t>vrijednost</w:t>
      </w:r>
      <w:r w:rsidR="00937F45">
        <w:rPr>
          <w:lang w:val="hr-HR"/>
        </w:rPr>
        <w:t xml:space="preserve"> zaštićene stavke se periodično potvrđuje. </w:t>
      </w:r>
    </w:p>
    <w:p w14:paraId="12483224" w14:textId="5F9A5109" w:rsidR="00014FB0" w:rsidRPr="00EF5D0A" w:rsidRDefault="00A92D4A" w:rsidP="00EA4922">
      <w:pPr>
        <w:pStyle w:val="IASBNormalnpara"/>
        <w:spacing w:before="80"/>
        <w:rPr>
          <w:lang w:val="hr-HR"/>
        </w:rPr>
      </w:pPr>
      <w:r>
        <w:rPr>
          <w:lang w:val="hr-HR"/>
        </w:rPr>
        <w:t>OZ</w:t>
      </w:r>
      <w:r w:rsidR="001C3CBD" w:rsidRPr="00EF5D0A">
        <w:rPr>
          <w:lang w:val="hr-HR"/>
        </w:rPr>
        <w:t>6.668</w:t>
      </w:r>
      <w:r w:rsidR="001C3CBD" w:rsidRPr="00EF5D0A">
        <w:rPr>
          <w:lang w:val="hr-HR"/>
        </w:rPr>
        <w:tab/>
      </w:r>
      <w:r w:rsidR="001C3CBD" w:rsidRPr="00937F45">
        <w:rPr>
          <w:i/>
          <w:iCs/>
          <w:lang w:val="hr-HR"/>
        </w:rPr>
        <w:t>IASB</w:t>
      </w:r>
      <w:r w:rsidR="001C3CBD" w:rsidRPr="00EF5D0A">
        <w:rPr>
          <w:lang w:val="hr-HR"/>
        </w:rPr>
        <w:t xml:space="preserve"> </w:t>
      </w:r>
      <w:r w:rsidR="00937F45">
        <w:rPr>
          <w:lang w:val="hr-HR"/>
        </w:rPr>
        <w:t xml:space="preserve">je također smatrao bitnim da se </w:t>
      </w:r>
      <w:r w:rsidR="00E40097">
        <w:rPr>
          <w:lang w:val="hr-HR"/>
        </w:rPr>
        <w:t xml:space="preserve">identifikovanje i </w:t>
      </w:r>
      <w:r w:rsidR="00937F45">
        <w:rPr>
          <w:lang w:val="hr-HR"/>
        </w:rPr>
        <w:t>o</w:t>
      </w:r>
      <w:r w:rsidR="00E40097">
        <w:rPr>
          <w:lang w:val="hr-HR"/>
        </w:rPr>
        <w:t>dređivanje</w:t>
      </w:r>
      <w:r w:rsidR="00937F45">
        <w:rPr>
          <w:lang w:val="hr-HR"/>
        </w:rPr>
        <w:t xml:space="preserve"> zaštićene stavke ne miješaju sa zahtjevom da se procijeni da li su predviđene transakcije električnom energijom vrlo </w:t>
      </w:r>
      <w:r w:rsidR="004E2759">
        <w:rPr>
          <w:lang w:val="hr-HR"/>
        </w:rPr>
        <w:t>vjerovatn</w:t>
      </w:r>
      <w:r w:rsidR="00937F45">
        <w:rPr>
          <w:lang w:val="hr-HR"/>
        </w:rPr>
        <w:t xml:space="preserve">e, što </w:t>
      </w:r>
      <w:r w:rsidR="00E40097">
        <w:rPr>
          <w:lang w:val="hr-HR"/>
        </w:rPr>
        <w:t>je</w:t>
      </w:r>
      <w:r w:rsidR="00937F45">
        <w:rPr>
          <w:lang w:val="hr-HR"/>
        </w:rPr>
        <w:t xml:space="preserve"> zasebn</w:t>
      </w:r>
      <w:r w:rsidR="00E40097">
        <w:rPr>
          <w:lang w:val="hr-HR"/>
        </w:rPr>
        <w:t>a</w:t>
      </w:r>
      <w:r w:rsidR="00937F45">
        <w:rPr>
          <w:lang w:val="hr-HR"/>
        </w:rPr>
        <w:t xml:space="preserve"> analiz</w:t>
      </w:r>
      <w:r w:rsidR="00E40097">
        <w:rPr>
          <w:lang w:val="hr-HR"/>
        </w:rPr>
        <w:t>a</w:t>
      </w:r>
      <w:r w:rsidR="00937F45">
        <w:rPr>
          <w:lang w:val="hr-HR"/>
        </w:rPr>
        <w:t xml:space="preserve">. </w:t>
      </w:r>
    </w:p>
    <w:p w14:paraId="6D25282B" w14:textId="77777777" w:rsidR="00EE2662" w:rsidRDefault="00EE2662" w:rsidP="00EE2662">
      <w:pPr>
        <w:pStyle w:val="IASBSectionTitle4Ind"/>
        <w:spacing w:before="60"/>
        <w:rPr>
          <w:sz w:val="2"/>
          <w:szCs w:val="2"/>
          <w:lang w:val="hr-HR"/>
        </w:rPr>
      </w:pPr>
      <w:bookmarkStart w:id="47" w:name="unique_131"/>
    </w:p>
    <w:p w14:paraId="76B83AFC" w14:textId="7040485E" w:rsidR="00014FB0" w:rsidRPr="00EF5D0A" w:rsidRDefault="003C3EBB" w:rsidP="00EE2662">
      <w:pPr>
        <w:pStyle w:val="IASBSectionTitle4Ind"/>
        <w:spacing w:before="100"/>
        <w:rPr>
          <w:lang w:val="hr-HR"/>
        </w:rPr>
      </w:pPr>
      <w:r>
        <w:rPr>
          <w:lang w:val="hr-HR"/>
        </w:rPr>
        <w:t xml:space="preserve">Primjena zahtjeva da se izvrši procjena da li su predviđene transakcije električnom energijom vrlo </w:t>
      </w:r>
      <w:r w:rsidR="004E2759">
        <w:rPr>
          <w:lang w:val="hr-HR"/>
        </w:rPr>
        <w:t>vjerovatn</w:t>
      </w:r>
      <w:r>
        <w:rPr>
          <w:lang w:val="hr-HR"/>
        </w:rPr>
        <w:t xml:space="preserve">e </w:t>
      </w:r>
      <w:bookmarkEnd w:id="47"/>
    </w:p>
    <w:p w14:paraId="14BBC053" w14:textId="15D4E525" w:rsidR="00014FB0" w:rsidRPr="00EF5D0A" w:rsidRDefault="00A92D4A" w:rsidP="00EE2662">
      <w:pPr>
        <w:pStyle w:val="IASBNormalnpara"/>
        <w:spacing w:before="80"/>
        <w:rPr>
          <w:lang w:val="hr-HR"/>
        </w:rPr>
      </w:pPr>
      <w:r>
        <w:rPr>
          <w:lang w:val="hr-HR"/>
        </w:rPr>
        <w:t>OZ</w:t>
      </w:r>
      <w:r w:rsidR="001C3CBD" w:rsidRPr="00EF5D0A">
        <w:rPr>
          <w:lang w:val="hr-HR"/>
        </w:rPr>
        <w:t>6.669</w:t>
      </w:r>
      <w:r w:rsidR="001C3CBD" w:rsidRPr="00EF5D0A">
        <w:rPr>
          <w:lang w:val="hr-HR"/>
        </w:rPr>
        <w:tab/>
      </w:r>
      <w:r w:rsidR="00937F45">
        <w:rPr>
          <w:lang w:val="hr-HR"/>
        </w:rPr>
        <w:t xml:space="preserve">Dionici su zatražili od </w:t>
      </w:r>
      <w:r w:rsidR="00937F45" w:rsidRPr="00937F45">
        <w:rPr>
          <w:i/>
          <w:iCs/>
          <w:lang w:val="hr-HR"/>
        </w:rPr>
        <w:t>IASB</w:t>
      </w:r>
      <w:r w:rsidR="00937F45">
        <w:rPr>
          <w:lang w:val="hr-HR"/>
        </w:rPr>
        <w:t>-a da pojasni na koji način subjekt</w:t>
      </w:r>
      <w:r w:rsidR="00553577">
        <w:rPr>
          <w:lang w:val="hr-HR"/>
        </w:rPr>
        <w:t>i</w:t>
      </w:r>
      <w:r w:rsidR="00937F45">
        <w:rPr>
          <w:lang w:val="hr-HR"/>
        </w:rPr>
        <w:t xml:space="preserve"> procjenjuj</w:t>
      </w:r>
      <w:r w:rsidR="00553577">
        <w:rPr>
          <w:lang w:val="hr-HR"/>
        </w:rPr>
        <w:t>u</w:t>
      </w:r>
      <w:r w:rsidR="00937F45">
        <w:rPr>
          <w:lang w:val="hr-HR"/>
        </w:rPr>
        <w:t xml:space="preserve"> da li su buduće nabavke električne energije vrlo </w:t>
      </w:r>
      <w:r w:rsidR="004E2759">
        <w:rPr>
          <w:lang w:val="hr-HR"/>
        </w:rPr>
        <w:t>vjerovatn</w:t>
      </w:r>
      <w:r w:rsidR="00937F45">
        <w:rPr>
          <w:lang w:val="hr-HR"/>
        </w:rPr>
        <w:t>e kada korist</w:t>
      </w:r>
      <w:r w:rsidR="00553577">
        <w:rPr>
          <w:lang w:val="hr-HR"/>
        </w:rPr>
        <w:t>e</w:t>
      </w:r>
      <w:r w:rsidR="00937F45">
        <w:rPr>
          <w:lang w:val="hr-HR"/>
        </w:rPr>
        <w:t xml:space="preserve"> ugovor</w:t>
      </w:r>
      <w:r w:rsidR="00553577">
        <w:rPr>
          <w:lang w:val="hr-HR"/>
        </w:rPr>
        <w:t>e</w:t>
      </w:r>
      <w:r w:rsidR="00937F45">
        <w:rPr>
          <w:lang w:val="hr-HR"/>
        </w:rPr>
        <w:t xml:space="preserve"> </w:t>
      </w:r>
      <w:r w:rsidR="00553577">
        <w:rPr>
          <w:lang w:val="hr-HR"/>
        </w:rPr>
        <w:t>o</w:t>
      </w:r>
      <w:r w:rsidR="00937F45">
        <w:rPr>
          <w:lang w:val="hr-HR"/>
        </w:rPr>
        <w:t xml:space="preserve"> električn</w:t>
      </w:r>
      <w:r w:rsidR="00553577">
        <w:rPr>
          <w:lang w:val="hr-HR"/>
        </w:rPr>
        <w:t>oj</w:t>
      </w:r>
      <w:r w:rsidR="00937F45">
        <w:rPr>
          <w:lang w:val="hr-HR"/>
        </w:rPr>
        <w:t xml:space="preserve"> energij</w:t>
      </w:r>
      <w:r w:rsidR="00553577">
        <w:rPr>
          <w:lang w:val="hr-HR"/>
        </w:rPr>
        <w:t>i</w:t>
      </w:r>
      <w:r w:rsidR="00937F45">
        <w:rPr>
          <w:lang w:val="hr-HR"/>
        </w:rPr>
        <w:t xml:space="preserve"> iz </w:t>
      </w:r>
      <w:r w:rsidR="00553577">
        <w:rPr>
          <w:lang w:val="hr-HR"/>
        </w:rPr>
        <w:t xml:space="preserve">izvora zavisnih od </w:t>
      </w:r>
      <w:r w:rsidR="00937F45">
        <w:rPr>
          <w:lang w:val="hr-HR"/>
        </w:rPr>
        <w:t xml:space="preserve">prirodnih </w:t>
      </w:r>
      <w:r w:rsidR="00553577">
        <w:rPr>
          <w:lang w:val="hr-HR"/>
        </w:rPr>
        <w:t xml:space="preserve">uslova </w:t>
      </w:r>
      <w:r w:rsidR="00937F45">
        <w:rPr>
          <w:lang w:val="hr-HR"/>
        </w:rPr>
        <w:t xml:space="preserve">kao instrument zaštite. Oni nisu bili sigurni kako bi </w:t>
      </w:r>
      <w:r w:rsidR="00553577">
        <w:rPr>
          <w:lang w:val="hr-HR"/>
        </w:rPr>
        <w:t xml:space="preserve">neki </w:t>
      </w:r>
      <w:r w:rsidR="00937F45">
        <w:rPr>
          <w:lang w:val="hr-HR"/>
        </w:rPr>
        <w:t>subjekt izvršio tu procjenu jer se u pravilu ispregovara da da</w:t>
      </w:r>
      <w:r w:rsidR="00553577">
        <w:rPr>
          <w:lang w:val="hr-HR"/>
        </w:rPr>
        <w:t>ta</w:t>
      </w:r>
      <w:r w:rsidR="00937F45">
        <w:rPr>
          <w:lang w:val="hr-HR"/>
        </w:rPr>
        <w:t xml:space="preserve"> vrsta ugovora važi na duži period. U komentarima na prednacrt dokumenta </w:t>
      </w:r>
      <w:r w:rsidR="00937F45">
        <w:rPr>
          <w:i/>
          <w:lang w:val="hr-HR"/>
        </w:rPr>
        <w:t xml:space="preserve">Ugovori </w:t>
      </w:r>
      <w:r w:rsidR="00553577">
        <w:rPr>
          <w:i/>
          <w:lang w:val="hr-HR"/>
        </w:rPr>
        <w:t xml:space="preserve">o </w:t>
      </w:r>
      <w:r w:rsidR="00937F45">
        <w:rPr>
          <w:i/>
          <w:lang w:val="hr-HR"/>
        </w:rPr>
        <w:t>električn</w:t>
      </w:r>
      <w:r w:rsidR="00553577">
        <w:rPr>
          <w:i/>
          <w:lang w:val="hr-HR"/>
        </w:rPr>
        <w:t>oj</w:t>
      </w:r>
      <w:r w:rsidR="00937F45">
        <w:rPr>
          <w:i/>
          <w:lang w:val="hr-HR"/>
        </w:rPr>
        <w:t xml:space="preserve"> energij</w:t>
      </w:r>
      <w:r w:rsidR="00553577">
        <w:rPr>
          <w:i/>
          <w:lang w:val="hr-HR"/>
        </w:rPr>
        <w:t>i</w:t>
      </w:r>
      <w:r w:rsidR="00937F45">
        <w:rPr>
          <w:i/>
          <w:lang w:val="hr-HR"/>
        </w:rPr>
        <w:t xml:space="preserve"> iz obnovljivih izvora</w:t>
      </w:r>
      <w:r w:rsidR="001C3CBD" w:rsidRPr="00EF5D0A">
        <w:rPr>
          <w:lang w:val="hr-HR"/>
        </w:rPr>
        <w:t xml:space="preserve"> </w:t>
      </w:r>
      <w:r w:rsidR="00937F45">
        <w:rPr>
          <w:lang w:val="hr-HR"/>
        </w:rPr>
        <w:t xml:space="preserve">je postavljeno pitanje da li se od subjekata očekuje da izvrše detaljne procjene budućih nabavki električne energije za svaki </w:t>
      </w:r>
      <w:r w:rsidR="00553577">
        <w:rPr>
          <w:lang w:val="hr-HR"/>
        </w:rPr>
        <w:t xml:space="preserve">mogući interval </w:t>
      </w:r>
      <w:r w:rsidR="00937F45">
        <w:rPr>
          <w:lang w:val="hr-HR"/>
        </w:rPr>
        <w:t xml:space="preserve">nabavke ili za periode daleko u budućnosti. U nekoliko drugih komentara su pitali i to koliko </w:t>
      </w:r>
      <w:r w:rsidR="00EE04F2">
        <w:rPr>
          <w:lang w:val="hr-HR"/>
        </w:rPr>
        <w:t>podrobni</w:t>
      </w:r>
      <w:r w:rsidR="00937F45">
        <w:rPr>
          <w:lang w:val="hr-HR"/>
        </w:rPr>
        <w:t xml:space="preserve"> bi trebali biti procijenjeni vremenski intervali nabavki koje subjekt koristi kod procjene toga da li su buduće nabavke električne energije vrlo </w:t>
      </w:r>
      <w:r w:rsidR="004E2759">
        <w:rPr>
          <w:lang w:val="hr-HR"/>
        </w:rPr>
        <w:t>vjerovatn</w:t>
      </w:r>
      <w:r w:rsidR="00937F45">
        <w:rPr>
          <w:lang w:val="hr-HR"/>
        </w:rPr>
        <w:t xml:space="preserve">e. </w:t>
      </w:r>
    </w:p>
    <w:p w14:paraId="01CDDD7D" w14:textId="4DF1C943" w:rsidR="00014FB0" w:rsidRPr="00EF5D0A" w:rsidRDefault="00A92D4A" w:rsidP="00EE2662">
      <w:pPr>
        <w:pStyle w:val="IASBNormalnpara"/>
        <w:spacing w:before="80"/>
        <w:rPr>
          <w:lang w:val="hr-HR"/>
        </w:rPr>
      </w:pPr>
      <w:r>
        <w:rPr>
          <w:lang w:val="hr-HR"/>
        </w:rPr>
        <w:t>OZ</w:t>
      </w:r>
      <w:r w:rsidR="001C3CBD" w:rsidRPr="00EF5D0A">
        <w:rPr>
          <w:lang w:val="hr-HR"/>
        </w:rPr>
        <w:t>6.670</w:t>
      </w:r>
      <w:r w:rsidR="001C3CBD" w:rsidRPr="00EF5D0A">
        <w:rPr>
          <w:lang w:val="hr-HR"/>
        </w:rPr>
        <w:tab/>
      </w:r>
      <w:r w:rsidR="001C3CBD" w:rsidRPr="006F0BBC">
        <w:rPr>
          <w:i/>
          <w:iCs/>
          <w:lang w:val="hr-HR"/>
        </w:rPr>
        <w:t>IASB</w:t>
      </w:r>
      <w:r w:rsidR="001C3CBD" w:rsidRPr="00EF5D0A">
        <w:rPr>
          <w:lang w:val="hr-HR"/>
        </w:rPr>
        <w:t xml:space="preserve"> </w:t>
      </w:r>
      <w:r w:rsidR="006F0BBC">
        <w:rPr>
          <w:lang w:val="hr-HR"/>
        </w:rPr>
        <w:t xml:space="preserve">je </w:t>
      </w:r>
      <w:r w:rsidR="00EE04F2">
        <w:rPr>
          <w:lang w:val="hr-HR"/>
        </w:rPr>
        <w:t>napomenuo</w:t>
      </w:r>
      <w:r w:rsidR="006F0BBC">
        <w:rPr>
          <w:lang w:val="hr-HR"/>
        </w:rPr>
        <w:t xml:space="preserve"> da tačka</w:t>
      </w:r>
      <w:r w:rsidR="001C3CBD" w:rsidRPr="00EF5D0A">
        <w:rPr>
          <w:lang w:val="hr-HR"/>
        </w:rPr>
        <w:t xml:space="preserve"> 6.3.3 </w:t>
      </w:r>
      <w:r w:rsidR="006F0BBC">
        <w:rPr>
          <w:lang w:val="hr-HR"/>
        </w:rPr>
        <w:t>MSFI-ja</w:t>
      </w:r>
      <w:r w:rsidR="001C3CBD" w:rsidRPr="00EF5D0A">
        <w:rPr>
          <w:lang w:val="hr-HR"/>
        </w:rPr>
        <w:t xml:space="preserve"> 9 </w:t>
      </w:r>
      <w:r w:rsidR="006F0BBC">
        <w:rPr>
          <w:lang w:val="hr-HR"/>
        </w:rPr>
        <w:t xml:space="preserve">nalaže da zaštićena stavka mora biti vrlo </w:t>
      </w:r>
      <w:r w:rsidR="004E2759">
        <w:rPr>
          <w:lang w:val="hr-HR"/>
        </w:rPr>
        <w:t>vjerovatn</w:t>
      </w:r>
      <w:r w:rsidR="006F0BBC">
        <w:rPr>
          <w:lang w:val="hr-HR"/>
        </w:rPr>
        <w:t xml:space="preserve">a i smatrali su da, u većini odnosa zaštite, procjena toga da li je zaštićena stavka zaista vrlo </w:t>
      </w:r>
      <w:r w:rsidR="004E2759">
        <w:rPr>
          <w:lang w:val="hr-HR"/>
        </w:rPr>
        <w:t>vjerovatn</w:t>
      </w:r>
      <w:r w:rsidR="006F0BBC">
        <w:rPr>
          <w:lang w:val="hr-HR"/>
        </w:rPr>
        <w:t xml:space="preserve">a obično podrazumijeva prostu procjenu stepena vjerovatnoće da je to slučaj. </w:t>
      </w:r>
    </w:p>
    <w:p w14:paraId="51B6B3C4" w14:textId="79485B7F" w:rsidR="00014FB0" w:rsidRPr="00EF5D0A" w:rsidRDefault="00A92D4A" w:rsidP="00EE2662">
      <w:pPr>
        <w:pStyle w:val="IASBNormalnpara"/>
        <w:spacing w:before="80"/>
        <w:rPr>
          <w:lang w:val="hr-HR"/>
        </w:rPr>
      </w:pPr>
      <w:r>
        <w:rPr>
          <w:lang w:val="hr-HR"/>
        </w:rPr>
        <w:t>OZ</w:t>
      </w:r>
      <w:r w:rsidR="001C3CBD" w:rsidRPr="00EF5D0A">
        <w:rPr>
          <w:lang w:val="hr-HR"/>
        </w:rPr>
        <w:t>6.671</w:t>
      </w:r>
      <w:r w:rsidR="001C3CBD" w:rsidRPr="00EF5D0A">
        <w:rPr>
          <w:lang w:val="hr-HR"/>
        </w:rPr>
        <w:tab/>
      </w:r>
      <w:r w:rsidR="001C3CBD" w:rsidRPr="006F0BBC">
        <w:rPr>
          <w:i/>
          <w:iCs/>
          <w:lang w:val="hr-HR"/>
        </w:rPr>
        <w:t>IASB</w:t>
      </w:r>
      <w:r w:rsidR="001C3CBD" w:rsidRPr="00EF5D0A">
        <w:rPr>
          <w:lang w:val="hr-HR"/>
        </w:rPr>
        <w:t xml:space="preserve"> </w:t>
      </w:r>
      <w:r w:rsidR="00EE04F2">
        <w:rPr>
          <w:lang w:val="hr-HR"/>
        </w:rPr>
        <w:t xml:space="preserve">je potvrdio </w:t>
      </w:r>
      <w:r w:rsidR="006F0BBC">
        <w:rPr>
          <w:lang w:val="hr-HR"/>
        </w:rPr>
        <w:t xml:space="preserve">da što je duži period važenja zaštite, to </w:t>
      </w:r>
      <w:r w:rsidR="00EE04F2">
        <w:rPr>
          <w:lang w:val="hr-HR"/>
        </w:rPr>
        <w:t xml:space="preserve">je </w:t>
      </w:r>
      <w:r w:rsidR="006F0BBC">
        <w:rPr>
          <w:lang w:val="hr-HR"/>
        </w:rPr>
        <w:t xml:space="preserve">složenija procjena da li su predviđene transakcije vrlo </w:t>
      </w:r>
      <w:r w:rsidR="004E2759">
        <w:rPr>
          <w:lang w:val="hr-HR"/>
        </w:rPr>
        <w:t>vjerovatn</w:t>
      </w:r>
      <w:r w:rsidR="006F0BBC">
        <w:rPr>
          <w:lang w:val="hr-HR"/>
        </w:rPr>
        <w:t>e. Taj izazov, međutim, nije novina i prenesen je iz MRS-a 39. Iako MSFI</w:t>
      </w:r>
      <w:r w:rsidR="001C3CBD" w:rsidRPr="00EF5D0A">
        <w:rPr>
          <w:lang w:val="hr-HR"/>
        </w:rPr>
        <w:t xml:space="preserve"> 9 </w:t>
      </w:r>
      <w:r w:rsidR="006F0BBC">
        <w:rPr>
          <w:lang w:val="hr-HR"/>
        </w:rPr>
        <w:t xml:space="preserve">ne daje posebna uputstva za primjenu u kojima bi se pojašnjavalo na koji način izvršiti procjenu da li je neka transakcija vrlo </w:t>
      </w:r>
      <w:r w:rsidR="004E2759">
        <w:rPr>
          <w:lang w:val="hr-HR"/>
        </w:rPr>
        <w:t>vjerovatn</w:t>
      </w:r>
      <w:r w:rsidR="006F0BBC">
        <w:rPr>
          <w:lang w:val="hr-HR"/>
        </w:rPr>
        <w:t xml:space="preserve">a, tačka </w:t>
      </w:r>
      <w:r w:rsidR="001C3CBD" w:rsidRPr="00EF5D0A">
        <w:rPr>
          <w:lang w:val="hr-HR"/>
        </w:rPr>
        <w:t xml:space="preserve">6.3.3 </w:t>
      </w:r>
      <w:r w:rsidR="006F0BBC">
        <w:rPr>
          <w:lang w:val="hr-HR"/>
        </w:rPr>
        <w:t>MSFI-ja</w:t>
      </w:r>
      <w:r w:rsidR="001C3CBD" w:rsidRPr="00EF5D0A">
        <w:rPr>
          <w:lang w:val="hr-HR"/>
        </w:rPr>
        <w:t xml:space="preserve"> 9 </w:t>
      </w:r>
      <w:r w:rsidR="006F0BBC">
        <w:rPr>
          <w:lang w:val="hr-HR"/>
        </w:rPr>
        <w:t xml:space="preserve">je jasna. Subjekt neizvjesnost u pogledu termina i veličine predviđene transakcije razmatra služeći se stepenima vjerovatnoće. </w:t>
      </w:r>
    </w:p>
    <w:p w14:paraId="691B3840" w14:textId="069E628C" w:rsidR="00014FB0" w:rsidRPr="00EF5D0A" w:rsidRDefault="00A92D4A" w:rsidP="00EE2662">
      <w:pPr>
        <w:pStyle w:val="IASBNormalnpara"/>
        <w:spacing w:before="80"/>
        <w:rPr>
          <w:lang w:val="hr-HR"/>
        </w:rPr>
      </w:pPr>
      <w:r>
        <w:rPr>
          <w:lang w:val="hr-HR"/>
        </w:rPr>
        <w:t>OZ</w:t>
      </w:r>
      <w:r w:rsidR="001C3CBD" w:rsidRPr="00EF5D0A">
        <w:rPr>
          <w:lang w:val="hr-HR"/>
        </w:rPr>
        <w:t>6.672</w:t>
      </w:r>
      <w:r w:rsidR="001C3CBD" w:rsidRPr="00EF5D0A">
        <w:rPr>
          <w:lang w:val="hr-HR"/>
        </w:rPr>
        <w:tab/>
      </w:r>
      <w:r w:rsidR="006F0BBC">
        <w:rPr>
          <w:lang w:val="hr-HR"/>
        </w:rPr>
        <w:t xml:space="preserve">Kod svakog odnosa zaštite, period važenja zaštite predstavlja faktor u procjeni stepena vjerovatnoće neke transakcije. U pravilu, što </w:t>
      </w:r>
      <w:r w:rsidR="009C1324">
        <w:rPr>
          <w:lang w:val="hr-HR"/>
        </w:rPr>
        <w:t xml:space="preserve">dalje u budućnosti </w:t>
      </w:r>
      <w:r w:rsidR="00EE04F2">
        <w:rPr>
          <w:lang w:val="hr-HR"/>
        </w:rPr>
        <w:t>je</w:t>
      </w:r>
      <w:r w:rsidR="009C1324">
        <w:rPr>
          <w:lang w:val="hr-HR"/>
        </w:rPr>
        <w:t xml:space="preserve"> transakcija, to je manje vjerovatno da će se smatrati vrlo </w:t>
      </w:r>
      <w:r w:rsidR="004E2759">
        <w:rPr>
          <w:lang w:val="hr-HR"/>
        </w:rPr>
        <w:t>vjerovatn</w:t>
      </w:r>
      <w:r w:rsidR="009C1324">
        <w:rPr>
          <w:lang w:val="hr-HR"/>
        </w:rPr>
        <w:t xml:space="preserve">om. Ipak, </w:t>
      </w:r>
      <w:r w:rsidR="001C3CBD" w:rsidRPr="009C1324">
        <w:rPr>
          <w:i/>
          <w:iCs/>
          <w:lang w:val="hr-HR"/>
        </w:rPr>
        <w:t>IASB</w:t>
      </w:r>
      <w:r w:rsidR="001C3CBD" w:rsidRPr="00EF5D0A">
        <w:rPr>
          <w:lang w:val="hr-HR"/>
        </w:rPr>
        <w:t xml:space="preserve"> </w:t>
      </w:r>
      <w:r w:rsidR="009C1324">
        <w:rPr>
          <w:lang w:val="hr-HR"/>
        </w:rPr>
        <w:t xml:space="preserve">je konstatovao da će subjekti koji trenutno nabavljaju i troše električnu energiju to nastaviti raditi i u budućnosti. Prema tome, u odsustvu dokaza koji bi ukazivali na suprotno </w:t>
      </w:r>
      <w:r w:rsidR="001C3CBD" w:rsidRPr="00EF5D0A">
        <w:rPr>
          <w:lang w:val="hr-HR"/>
        </w:rPr>
        <w:t>(</w:t>
      </w:r>
      <w:r w:rsidR="009C1324">
        <w:rPr>
          <w:lang w:val="hr-HR"/>
        </w:rPr>
        <w:t>kao što je</w:t>
      </w:r>
      <w:r w:rsidR="00EE04F2">
        <w:rPr>
          <w:lang w:val="hr-HR"/>
        </w:rPr>
        <w:t xml:space="preserve"> to </w:t>
      </w:r>
      <w:r w:rsidR="009C1324">
        <w:rPr>
          <w:lang w:val="hr-HR"/>
        </w:rPr>
        <w:t xml:space="preserve">da je subjektu u trenutku procjene poznato da će se potražnja za električnom energijom na jednoj lokaciji smanjiti), subjekt bi očekivao, zasnovano na svojim ranijim nabavkama električne energije i trenutnim praksama nabavki, </w:t>
      </w:r>
      <w:r w:rsidR="00EE04F2">
        <w:rPr>
          <w:lang w:val="hr-HR"/>
        </w:rPr>
        <w:t xml:space="preserve">da će se </w:t>
      </w:r>
      <w:r w:rsidR="009C1324">
        <w:rPr>
          <w:lang w:val="hr-HR"/>
        </w:rPr>
        <w:t xml:space="preserve">takve nabavke nastaviti i tokom </w:t>
      </w:r>
      <w:r w:rsidR="00EE04F2">
        <w:rPr>
          <w:lang w:val="hr-HR"/>
        </w:rPr>
        <w:t xml:space="preserve">perioda </w:t>
      </w:r>
      <w:r w:rsidR="009C1324">
        <w:rPr>
          <w:lang w:val="hr-HR"/>
        </w:rPr>
        <w:t xml:space="preserve">važenja zaštite, čak i ako se taj period proteže daleko u budućnost. </w:t>
      </w:r>
      <w:r w:rsidR="001C3CBD" w:rsidRPr="009C1324">
        <w:rPr>
          <w:i/>
          <w:iCs/>
          <w:lang w:val="hr-HR"/>
        </w:rPr>
        <w:t>IASB</w:t>
      </w:r>
      <w:r w:rsidR="001C3CBD" w:rsidRPr="00EF5D0A">
        <w:rPr>
          <w:lang w:val="hr-HR"/>
        </w:rPr>
        <w:t xml:space="preserve"> </w:t>
      </w:r>
      <w:r w:rsidR="009C1324">
        <w:rPr>
          <w:lang w:val="hr-HR"/>
        </w:rPr>
        <w:t xml:space="preserve">je konstatovao i to da subjekti koji sklapaju dugoročni ugovor </w:t>
      </w:r>
      <w:r w:rsidR="00EE04F2">
        <w:rPr>
          <w:lang w:val="hr-HR"/>
        </w:rPr>
        <w:t>o</w:t>
      </w:r>
      <w:r w:rsidR="009C1324">
        <w:rPr>
          <w:lang w:val="hr-HR"/>
        </w:rPr>
        <w:t xml:space="preserve"> električn</w:t>
      </w:r>
      <w:r w:rsidR="00EE04F2">
        <w:rPr>
          <w:lang w:val="hr-HR"/>
        </w:rPr>
        <w:t>oj</w:t>
      </w:r>
      <w:r w:rsidR="009C1324">
        <w:rPr>
          <w:lang w:val="hr-HR"/>
        </w:rPr>
        <w:t xml:space="preserve"> energij</w:t>
      </w:r>
      <w:r w:rsidR="00EE04F2">
        <w:rPr>
          <w:lang w:val="hr-HR"/>
        </w:rPr>
        <w:t>i</w:t>
      </w:r>
      <w:r w:rsidR="009C1324">
        <w:rPr>
          <w:lang w:val="hr-HR"/>
        </w:rPr>
        <w:t xml:space="preserve"> iz </w:t>
      </w:r>
      <w:r w:rsidR="00EE04F2">
        <w:rPr>
          <w:lang w:val="hr-HR"/>
        </w:rPr>
        <w:t xml:space="preserve">izvora zavisnih od </w:t>
      </w:r>
      <w:r w:rsidR="009C1324">
        <w:rPr>
          <w:lang w:val="hr-HR"/>
        </w:rPr>
        <w:t xml:space="preserve">prirodnih </w:t>
      </w:r>
      <w:r w:rsidR="00EE04F2">
        <w:rPr>
          <w:lang w:val="hr-HR"/>
        </w:rPr>
        <w:t>uslova</w:t>
      </w:r>
      <w:r w:rsidR="009C1324">
        <w:rPr>
          <w:lang w:val="hr-HR"/>
        </w:rPr>
        <w:t xml:space="preserve"> moraju izvršiti procjene i napraviti pretpostavke u pogledu svojih nabavki električne energije </w:t>
      </w:r>
      <w:r w:rsidR="00EE04F2">
        <w:rPr>
          <w:lang w:val="hr-HR"/>
        </w:rPr>
        <w:t>a</w:t>
      </w:r>
      <w:r w:rsidR="009C1324">
        <w:rPr>
          <w:lang w:val="hr-HR"/>
        </w:rPr>
        <w:t xml:space="preserve">, prema tome, i potražnji tokom važenja ugovora. Subjekti te procjene i pretpostavke mogu koristiti i za procjenu da li su njihove buduće nabavke električne energije vrlo </w:t>
      </w:r>
      <w:r w:rsidR="004E2759">
        <w:rPr>
          <w:lang w:val="hr-HR"/>
        </w:rPr>
        <w:t>vjerovatn</w:t>
      </w:r>
      <w:r w:rsidR="009C1324">
        <w:rPr>
          <w:lang w:val="hr-HR"/>
        </w:rPr>
        <w:t xml:space="preserve">e. </w:t>
      </w:r>
    </w:p>
    <w:p w14:paraId="5449DC1F" w14:textId="637ECED5" w:rsidR="00014FB0" w:rsidRPr="00EF5D0A" w:rsidRDefault="00A92D4A" w:rsidP="00EE2662">
      <w:pPr>
        <w:pStyle w:val="IASBNormalnpara"/>
        <w:spacing w:before="80"/>
        <w:rPr>
          <w:lang w:val="hr-HR"/>
        </w:rPr>
      </w:pPr>
      <w:r>
        <w:rPr>
          <w:lang w:val="hr-HR"/>
        </w:rPr>
        <w:t>OZ</w:t>
      </w:r>
      <w:r w:rsidR="001C3CBD" w:rsidRPr="00EF5D0A">
        <w:rPr>
          <w:lang w:val="hr-HR"/>
        </w:rPr>
        <w:t>6.673</w:t>
      </w:r>
      <w:r w:rsidR="001C3CBD" w:rsidRPr="00EF5D0A">
        <w:rPr>
          <w:lang w:val="hr-HR"/>
        </w:rPr>
        <w:tab/>
      </w:r>
      <w:r w:rsidR="001C3CBD" w:rsidRPr="009C1324">
        <w:rPr>
          <w:i/>
          <w:iCs/>
          <w:lang w:val="hr-HR"/>
        </w:rPr>
        <w:t>IASB</w:t>
      </w:r>
      <w:r w:rsidR="001C3CBD" w:rsidRPr="00EF5D0A">
        <w:rPr>
          <w:lang w:val="hr-HR"/>
        </w:rPr>
        <w:t xml:space="preserve"> </w:t>
      </w:r>
      <w:r w:rsidR="009C1324">
        <w:rPr>
          <w:lang w:val="hr-HR"/>
        </w:rPr>
        <w:t>je razmatrao na koji način subjekti odlučuju o učestalosti vremenskih intervala za potrebe procjena nabavki koje vrš</w:t>
      </w:r>
      <w:r w:rsidR="0015305F">
        <w:rPr>
          <w:lang w:val="hr-HR"/>
        </w:rPr>
        <w:t>e</w:t>
      </w:r>
      <w:r w:rsidR="00DB0B1F">
        <w:rPr>
          <w:lang w:val="hr-HR"/>
        </w:rPr>
        <w:t xml:space="preserve">. Konstatovali su da, iako </w:t>
      </w:r>
      <w:r w:rsidR="0015305F">
        <w:rPr>
          <w:lang w:val="hr-HR"/>
        </w:rPr>
        <w:t>bi se</w:t>
      </w:r>
      <w:r w:rsidR="00DB0B1F">
        <w:rPr>
          <w:lang w:val="hr-HR"/>
        </w:rPr>
        <w:t xml:space="preserve"> električna energija mo</w:t>
      </w:r>
      <w:r w:rsidR="0015305F">
        <w:rPr>
          <w:lang w:val="hr-HR"/>
        </w:rPr>
        <w:t>gla</w:t>
      </w:r>
      <w:r w:rsidR="00DB0B1F">
        <w:rPr>
          <w:lang w:val="hr-HR"/>
        </w:rPr>
        <w:t xml:space="preserve"> nabavljati gotovo neprekidno, subjekti nisu dužni precizno procjenjivati količine električne energije koje očekuju da </w:t>
      </w:r>
      <w:r w:rsidR="0015305F">
        <w:rPr>
          <w:lang w:val="hr-HR"/>
        </w:rPr>
        <w:t xml:space="preserve">nabave </w:t>
      </w:r>
      <w:r w:rsidR="00DB0B1F">
        <w:rPr>
          <w:lang w:val="hr-HR"/>
        </w:rPr>
        <w:t xml:space="preserve">svake minute svakog dana. MSFI 9 ne zahtijeva od subjekata da navedu tačan datum i termin predviđene transakcije za potrebe računovodstva zaštite od rizika </w:t>
      </w:r>
      <w:r w:rsidR="001C3CBD" w:rsidRPr="00EF5D0A">
        <w:rPr>
          <w:lang w:val="hr-HR"/>
        </w:rPr>
        <w:t>(</w:t>
      </w:r>
      <w:r w:rsidR="00DB0B1F">
        <w:rPr>
          <w:lang w:val="hr-HR"/>
        </w:rPr>
        <w:t>vidjeti tačku</w:t>
      </w:r>
      <w:r w:rsidR="001C3CBD" w:rsidRPr="00EF5D0A">
        <w:rPr>
          <w:lang w:val="hr-HR"/>
        </w:rPr>
        <w:t xml:space="preserve"> </w:t>
      </w:r>
      <w:r>
        <w:rPr>
          <w:lang w:val="hr-HR"/>
        </w:rPr>
        <w:t>OZ</w:t>
      </w:r>
      <w:r w:rsidR="001C3CBD" w:rsidRPr="00EF5D0A">
        <w:rPr>
          <w:lang w:val="hr-HR"/>
        </w:rPr>
        <w:t>6.667).</w:t>
      </w:r>
    </w:p>
    <w:p w14:paraId="308E682E" w14:textId="52A03E26" w:rsidR="00014FB0" w:rsidRPr="00EF5D0A" w:rsidRDefault="00A92D4A" w:rsidP="00EE2662">
      <w:pPr>
        <w:pStyle w:val="IASBNormalnpara"/>
        <w:spacing w:before="80"/>
        <w:rPr>
          <w:lang w:val="hr-HR"/>
        </w:rPr>
      </w:pPr>
      <w:r>
        <w:rPr>
          <w:lang w:val="hr-HR"/>
        </w:rPr>
        <w:t>OZ</w:t>
      </w:r>
      <w:r w:rsidR="001C3CBD" w:rsidRPr="00EF5D0A">
        <w:rPr>
          <w:lang w:val="hr-HR"/>
        </w:rPr>
        <w:t>6.674</w:t>
      </w:r>
      <w:r w:rsidR="001C3CBD" w:rsidRPr="00EF5D0A">
        <w:rPr>
          <w:lang w:val="hr-HR"/>
        </w:rPr>
        <w:tab/>
      </w:r>
      <w:r w:rsidR="001C3CBD" w:rsidRPr="00DB0B1F">
        <w:rPr>
          <w:i/>
          <w:iCs/>
          <w:lang w:val="hr-HR"/>
        </w:rPr>
        <w:t>IASB</w:t>
      </w:r>
      <w:r w:rsidR="001C3CBD" w:rsidRPr="00EF5D0A">
        <w:rPr>
          <w:lang w:val="hr-HR"/>
        </w:rPr>
        <w:t xml:space="preserve"> </w:t>
      </w:r>
      <w:r w:rsidR="00DB0B1F">
        <w:rPr>
          <w:lang w:val="hr-HR"/>
        </w:rPr>
        <w:t xml:space="preserve">je potvrdio da </w:t>
      </w:r>
      <w:r w:rsidR="003E4159">
        <w:rPr>
          <w:lang w:val="hr-HR"/>
        </w:rPr>
        <w:t xml:space="preserve">se </w:t>
      </w:r>
      <w:r w:rsidR="00DB0B1F">
        <w:rPr>
          <w:lang w:val="hr-HR"/>
        </w:rPr>
        <w:t xml:space="preserve">procjena </w:t>
      </w:r>
      <w:r w:rsidR="003E4159">
        <w:rPr>
          <w:lang w:val="hr-HR"/>
        </w:rPr>
        <w:t xml:space="preserve">da li su buduće nabavke električne energije vrlo </w:t>
      </w:r>
      <w:r w:rsidR="004E2759">
        <w:rPr>
          <w:lang w:val="hr-HR"/>
        </w:rPr>
        <w:t>vjerovatn</w:t>
      </w:r>
      <w:r w:rsidR="003E4159">
        <w:rPr>
          <w:lang w:val="hr-HR"/>
        </w:rPr>
        <w:t xml:space="preserve">e odnosi jednako i na predviđene prodaje i na predviđene nabavke. Ipak, ako ugovor </w:t>
      </w:r>
      <w:r w:rsidR="00D77EB9">
        <w:rPr>
          <w:lang w:val="hr-HR"/>
        </w:rPr>
        <w:t xml:space="preserve">o </w:t>
      </w:r>
      <w:r w:rsidR="003E4159">
        <w:rPr>
          <w:lang w:val="hr-HR"/>
        </w:rPr>
        <w:t>električn</w:t>
      </w:r>
      <w:r w:rsidR="00D77EB9">
        <w:rPr>
          <w:lang w:val="hr-HR"/>
        </w:rPr>
        <w:t>oj</w:t>
      </w:r>
      <w:r w:rsidR="003E4159">
        <w:rPr>
          <w:lang w:val="hr-HR"/>
        </w:rPr>
        <w:t xml:space="preserve"> energij</w:t>
      </w:r>
      <w:r w:rsidR="00D77EB9">
        <w:rPr>
          <w:lang w:val="hr-HR"/>
        </w:rPr>
        <w:t>i</w:t>
      </w:r>
      <w:r w:rsidR="003E4159">
        <w:rPr>
          <w:lang w:val="hr-HR"/>
        </w:rPr>
        <w:t xml:space="preserve"> iz </w:t>
      </w:r>
      <w:r w:rsidR="00D77EB9">
        <w:rPr>
          <w:lang w:val="hr-HR"/>
        </w:rPr>
        <w:t xml:space="preserve">izvora zavisnih od </w:t>
      </w:r>
      <w:r w:rsidR="003E4159">
        <w:rPr>
          <w:lang w:val="hr-HR"/>
        </w:rPr>
        <w:t xml:space="preserve">prirodnih </w:t>
      </w:r>
      <w:r w:rsidR="00D77EB9">
        <w:rPr>
          <w:lang w:val="hr-HR"/>
        </w:rPr>
        <w:t xml:space="preserve">uslova </w:t>
      </w:r>
      <w:r w:rsidR="00C04F42">
        <w:rPr>
          <w:lang w:val="hr-HR"/>
        </w:rPr>
        <w:t xml:space="preserve">zahtijeva neto izmirenje samo kada subjekt kupi ili proda električnu energiju, bilo koja ili sve </w:t>
      </w:r>
      <w:r w:rsidR="00D77EB9">
        <w:rPr>
          <w:lang w:val="hr-HR"/>
        </w:rPr>
        <w:t xml:space="preserve">njegove </w:t>
      </w:r>
      <w:r w:rsidR="00C04F42">
        <w:rPr>
          <w:lang w:val="hr-HR"/>
        </w:rPr>
        <w:t xml:space="preserve">predviđene transakcije bi bile obuhvaćene tim ugovorom. </w:t>
      </w:r>
      <w:r w:rsidR="00D77EB9">
        <w:rPr>
          <w:lang w:val="hr-HR"/>
        </w:rPr>
        <w:t>U skladu s tim</w:t>
      </w:r>
      <w:r w:rsidR="00C04F42">
        <w:rPr>
          <w:lang w:val="hr-HR"/>
        </w:rPr>
        <w:t xml:space="preserve">, </w:t>
      </w:r>
      <w:r w:rsidR="00C04F42" w:rsidRPr="00C04F42">
        <w:rPr>
          <w:i/>
          <w:iCs/>
          <w:lang w:val="hr-HR"/>
        </w:rPr>
        <w:t>IASB</w:t>
      </w:r>
      <w:r w:rsidR="00C04F42">
        <w:rPr>
          <w:lang w:val="hr-HR"/>
        </w:rPr>
        <w:t xml:space="preserve"> je pojasnio da, ako novčani tokovi prema ugovoru </w:t>
      </w:r>
      <w:r w:rsidR="00D77EB9">
        <w:rPr>
          <w:lang w:val="hr-HR"/>
        </w:rPr>
        <w:t>o</w:t>
      </w:r>
      <w:r w:rsidR="00C04F42">
        <w:rPr>
          <w:lang w:val="hr-HR"/>
        </w:rPr>
        <w:t xml:space="preserve"> električn</w:t>
      </w:r>
      <w:r w:rsidR="00D77EB9">
        <w:rPr>
          <w:lang w:val="hr-HR"/>
        </w:rPr>
        <w:t>oj</w:t>
      </w:r>
      <w:r w:rsidR="00C04F42">
        <w:rPr>
          <w:lang w:val="hr-HR"/>
        </w:rPr>
        <w:t xml:space="preserve"> energij</w:t>
      </w:r>
      <w:r w:rsidR="00D77EB9">
        <w:rPr>
          <w:lang w:val="hr-HR"/>
        </w:rPr>
        <w:t>i</w:t>
      </w:r>
      <w:r w:rsidR="00C04F42">
        <w:rPr>
          <w:lang w:val="hr-HR"/>
        </w:rPr>
        <w:t xml:space="preserve"> iz </w:t>
      </w:r>
      <w:r w:rsidR="00D77EB9">
        <w:rPr>
          <w:lang w:val="hr-HR"/>
        </w:rPr>
        <w:t xml:space="preserve">izvora zavisnih od </w:t>
      </w:r>
      <w:r w:rsidR="00C04F42">
        <w:rPr>
          <w:lang w:val="hr-HR"/>
        </w:rPr>
        <w:t xml:space="preserve">prirodnih </w:t>
      </w:r>
      <w:r w:rsidR="00D77EB9">
        <w:rPr>
          <w:lang w:val="hr-HR"/>
        </w:rPr>
        <w:t>uslova</w:t>
      </w:r>
      <w:r w:rsidR="00C04F42">
        <w:rPr>
          <w:lang w:val="hr-HR"/>
        </w:rPr>
        <w:t xml:space="preserve"> mogu nastati samo kada postoji zaštićena prodaja ili nabavka, takve predviđene transakcije se mogu smatrati vrlo </w:t>
      </w:r>
      <w:r w:rsidR="004E2759">
        <w:rPr>
          <w:lang w:val="hr-HR"/>
        </w:rPr>
        <w:t>vjerovatn</w:t>
      </w:r>
      <w:r w:rsidR="00C04F42">
        <w:rPr>
          <w:lang w:val="hr-HR"/>
        </w:rPr>
        <w:t xml:space="preserve">ima po prirodi odnosa zaštite ili po tome kako je on zamišljen. </w:t>
      </w:r>
    </w:p>
    <w:p w14:paraId="623F7B29" w14:textId="0BEE518E" w:rsidR="00014FB0" w:rsidRPr="00EF5D0A" w:rsidRDefault="00A92D4A" w:rsidP="00EE2662">
      <w:pPr>
        <w:pStyle w:val="IASBNormalnpara"/>
        <w:spacing w:before="80"/>
        <w:rPr>
          <w:lang w:val="hr-HR"/>
        </w:rPr>
      </w:pPr>
      <w:r>
        <w:rPr>
          <w:lang w:val="hr-HR"/>
        </w:rPr>
        <w:t>OZ</w:t>
      </w:r>
      <w:r w:rsidR="001C3CBD" w:rsidRPr="00EF5D0A">
        <w:rPr>
          <w:lang w:val="hr-HR"/>
        </w:rPr>
        <w:t>6.675</w:t>
      </w:r>
      <w:r w:rsidR="001C3CBD" w:rsidRPr="00EF5D0A">
        <w:rPr>
          <w:lang w:val="hr-HR"/>
        </w:rPr>
        <w:tab/>
      </w:r>
      <w:r w:rsidR="001C3CBD" w:rsidRPr="00C04F42">
        <w:rPr>
          <w:i/>
          <w:iCs/>
          <w:lang w:val="hr-HR"/>
        </w:rPr>
        <w:t>IASB</w:t>
      </w:r>
      <w:r w:rsidR="001C3CBD" w:rsidRPr="00EF5D0A">
        <w:rPr>
          <w:lang w:val="hr-HR"/>
        </w:rPr>
        <w:t xml:space="preserve"> </w:t>
      </w:r>
      <w:r w:rsidR="00C04F42">
        <w:rPr>
          <w:lang w:val="hr-HR"/>
        </w:rPr>
        <w:t xml:space="preserve">je zaključio da nisu potrebna dalja pojašnjenja zahtjeva iz tačke </w:t>
      </w:r>
      <w:r w:rsidR="001C3CBD" w:rsidRPr="00EF5D0A">
        <w:rPr>
          <w:lang w:val="hr-HR"/>
        </w:rPr>
        <w:t>6.3.3</w:t>
      </w:r>
      <w:r w:rsidR="00C04F42">
        <w:rPr>
          <w:lang w:val="hr-HR"/>
        </w:rPr>
        <w:t xml:space="preserve">, kako je navedeno i u tački </w:t>
      </w:r>
      <w:r>
        <w:rPr>
          <w:lang w:val="hr-HR"/>
        </w:rPr>
        <w:t>OZ</w:t>
      </w:r>
      <w:r w:rsidR="001C3CBD" w:rsidRPr="00EF5D0A">
        <w:rPr>
          <w:lang w:val="hr-HR"/>
        </w:rPr>
        <w:t>6.674.</w:t>
      </w:r>
    </w:p>
    <w:p w14:paraId="3864B48E" w14:textId="1E9B2448" w:rsidR="00014FB0" w:rsidRPr="00EF5D0A" w:rsidRDefault="001C3CBD">
      <w:pPr>
        <w:pStyle w:val="IASBSectionTitle3Ind"/>
        <w:rPr>
          <w:lang w:val="hr-HR"/>
        </w:rPr>
      </w:pPr>
      <w:bookmarkStart w:id="48" w:name="unique_127"/>
      <w:r w:rsidRPr="00EF5D0A">
        <w:rPr>
          <w:lang w:val="hr-HR"/>
        </w:rPr>
        <w:t>M</w:t>
      </w:r>
      <w:r w:rsidR="005E1E08">
        <w:rPr>
          <w:lang w:val="hr-HR"/>
        </w:rPr>
        <w:t xml:space="preserve">jerenje stavke zaštićene od rizika </w:t>
      </w:r>
      <w:bookmarkEnd w:id="48"/>
    </w:p>
    <w:p w14:paraId="0A6F6B34" w14:textId="04787C8E" w:rsidR="00014FB0" w:rsidRPr="00EF5D0A" w:rsidRDefault="00A92D4A" w:rsidP="00EE2662">
      <w:pPr>
        <w:pStyle w:val="IASBNormalnpara"/>
        <w:spacing w:before="80"/>
        <w:rPr>
          <w:lang w:val="hr-HR"/>
        </w:rPr>
      </w:pPr>
      <w:r>
        <w:rPr>
          <w:lang w:val="hr-HR"/>
        </w:rPr>
        <w:t>OZ</w:t>
      </w:r>
      <w:r w:rsidR="001C3CBD" w:rsidRPr="00EF5D0A">
        <w:rPr>
          <w:lang w:val="hr-HR"/>
        </w:rPr>
        <w:t>6.676</w:t>
      </w:r>
      <w:r w:rsidR="001C3CBD" w:rsidRPr="00EF5D0A">
        <w:rPr>
          <w:lang w:val="hr-HR"/>
        </w:rPr>
        <w:tab/>
      </w:r>
      <w:r w:rsidR="005D62A7">
        <w:rPr>
          <w:lang w:val="hr-HR"/>
        </w:rPr>
        <w:t xml:space="preserve">Tačka </w:t>
      </w:r>
      <w:r w:rsidR="001C3CBD" w:rsidRPr="00EF5D0A">
        <w:rPr>
          <w:lang w:val="hr-HR"/>
        </w:rPr>
        <w:t xml:space="preserve">6.5.11 </w:t>
      </w:r>
      <w:r w:rsidR="005D62A7">
        <w:rPr>
          <w:lang w:val="hr-HR"/>
        </w:rPr>
        <w:t>MSFI-ja</w:t>
      </w:r>
      <w:r w:rsidR="001C3CBD" w:rsidRPr="00EF5D0A">
        <w:rPr>
          <w:lang w:val="hr-HR"/>
        </w:rPr>
        <w:t xml:space="preserve"> 9 </w:t>
      </w:r>
      <w:r w:rsidR="005D62A7">
        <w:rPr>
          <w:lang w:val="hr-HR"/>
        </w:rPr>
        <w:t>nalaže subjekt</w:t>
      </w:r>
      <w:r w:rsidR="00D77EB9">
        <w:rPr>
          <w:lang w:val="hr-HR"/>
        </w:rPr>
        <w:t xml:space="preserve">ima koji obračunavaju </w:t>
      </w:r>
      <w:r w:rsidR="005D62A7">
        <w:rPr>
          <w:lang w:val="hr-HR"/>
        </w:rPr>
        <w:t xml:space="preserve">odnose zaštite novčanih tokova </w:t>
      </w:r>
      <w:r w:rsidR="00D77EB9">
        <w:rPr>
          <w:lang w:val="hr-HR"/>
        </w:rPr>
        <w:t xml:space="preserve">koji zadovoljavaju preduslove za to </w:t>
      </w:r>
      <w:r w:rsidR="005D62A7">
        <w:rPr>
          <w:lang w:val="hr-HR"/>
        </w:rPr>
        <w:t>da izračuna</w:t>
      </w:r>
      <w:r w:rsidR="00D77EB9">
        <w:rPr>
          <w:lang w:val="hr-HR"/>
        </w:rPr>
        <w:t>ju</w:t>
      </w:r>
      <w:r w:rsidR="005D62A7">
        <w:rPr>
          <w:lang w:val="hr-HR"/>
        </w:rPr>
        <w:t xml:space="preserve"> kumulativnu promjenu fer </w:t>
      </w:r>
      <w:r w:rsidR="00EE2662">
        <w:rPr>
          <w:lang w:val="hr-HR"/>
        </w:rPr>
        <w:t xml:space="preserve">(sadašnje) </w:t>
      </w:r>
      <w:r w:rsidR="005D62A7">
        <w:rPr>
          <w:lang w:val="hr-HR"/>
        </w:rPr>
        <w:t>vrijednosti zaštićen</w:t>
      </w:r>
      <w:r w:rsidR="00D77EB9">
        <w:rPr>
          <w:lang w:val="hr-HR"/>
        </w:rPr>
        <w:t>ih</w:t>
      </w:r>
      <w:r w:rsidR="005D62A7">
        <w:rPr>
          <w:lang w:val="hr-HR"/>
        </w:rPr>
        <w:t xml:space="preserve"> stavk</w:t>
      </w:r>
      <w:r w:rsidR="00D77EB9">
        <w:rPr>
          <w:lang w:val="hr-HR"/>
        </w:rPr>
        <w:t>i</w:t>
      </w:r>
      <w:r w:rsidR="005D62A7">
        <w:rPr>
          <w:lang w:val="hr-HR"/>
        </w:rPr>
        <w:t xml:space="preserve"> od početka odnosa zaštite. U skladu s tim, subjekti </w:t>
      </w:r>
      <w:r w:rsidR="00D77EB9">
        <w:rPr>
          <w:lang w:val="hr-HR"/>
        </w:rPr>
        <w:t>izračunavaju</w:t>
      </w:r>
      <w:r w:rsidR="005D62A7">
        <w:rPr>
          <w:lang w:val="hr-HR"/>
        </w:rPr>
        <w:t xml:space="preserve"> promjene vrijednosti zaštićene stavke </w:t>
      </w:r>
      <w:r w:rsidR="005D62A7">
        <w:rPr>
          <w:lang w:val="hr-HR"/>
        </w:rPr>
        <w:lastRenderedPageBreak/>
        <w:t xml:space="preserve">zasnovano na načinu na koji je </w:t>
      </w:r>
      <w:r w:rsidR="00D77EB9">
        <w:rPr>
          <w:lang w:val="hr-HR"/>
        </w:rPr>
        <w:t>ona određena</w:t>
      </w:r>
      <w:r w:rsidR="005D62A7">
        <w:rPr>
          <w:lang w:val="hr-HR"/>
        </w:rPr>
        <w:t xml:space="preserve">, kao što je to da li je </w:t>
      </w:r>
      <w:r w:rsidR="00D77EB9">
        <w:rPr>
          <w:lang w:val="hr-HR"/>
        </w:rPr>
        <w:t>određena</w:t>
      </w:r>
      <w:r w:rsidR="005D62A7">
        <w:rPr>
          <w:lang w:val="hr-HR"/>
        </w:rPr>
        <w:t xml:space="preserve"> cijela stavka, komponenta stavke ili kombinacija komponenti stavke. Kada je zaštićena stavka o</w:t>
      </w:r>
      <w:r w:rsidR="00D77EB9">
        <w:rPr>
          <w:lang w:val="hr-HR"/>
        </w:rPr>
        <w:t xml:space="preserve">dređena </w:t>
      </w:r>
      <w:r w:rsidR="005D62A7">
        <w:rPr>
          <w:lang w:val="hr-HR"/>
        </w:rPr>
        <w:t xml:space="preserve">kao promjenjiva nominalna </w:t>
      </w:r>
      <w:r w:rsidR="00D77EB9">
        <w:rPr>
          <w:lang w:val="hr-HR"/>
        </w:rPr>
        <w:t xml:space="preserve">vrijednost </w:t>
      </w:r>
      <w:r w:rsidR="005D62A7">
        <w:rPr>
          <w:lang w:val="hr-HR"/>
        </w:rPr>
        <w:t xml:space="preserve">električne energije iz obnovljivih izvora instrumenta zaštite, subjekat </w:t>
      </w:r>
      <w:r w:rsidR="00D77EB9">
        <w:rPr>
          <w:lang w:val="hr-HR"/>
        </w:rPr>
        <w:t xml:space="preserve">je </w:t>
      </w:r>
      <w:r w:rsidR="005D62A7">
        <w:rPr>
          <w:lang w:val="hr-HR"/>
        </w:rPr>
        <w:t xml:space="preserve">treba mjeriti na osnovu te promjenjive </w:t>
      </w:r>
      <w:r w:rsidR="00D77EB9">
        <w:rPr>
          <w:lang w:val="hr-HR"/>
        </w:rPr>
        <w:t>vrijednosti</w:t>
      </w:r>
      <w:r w:rsidR="005D62A7">
        <w:rPr>
          <w:lang w:val="hr-HR"/>
        </w:rPr>
        <w:t xml:space="preserve">. Kao posljedica toga, </w:t>
      </w:r>
      <w:r w:rsidR="001C3CBD" w:rsidRPr="005D62A7">
        <w:rPr>
          <w:i/>
          <w:iCs/>
          <w:lang w:val="hr-HR"/>
        </w:rPr>
        <w:t>IASB</w:t>
      </w:r>
      <w:r w:rsidR="001C3CBD" w:rsidRPr="00EF5D0A">
        <w:rPr>
          <w:lang w:val="hr-HR"/>
        </w:rPr>
        <w:t xml:space="preserve"> </w:t>
      </w:r>
      <w:r w:rsidR="005D62A7">
        <w:rPr>
          <w:lang w:val="hr-HR"/>
        </w:rPr>
        <w:t>je zaključio da, kada mjeri tako o</w:t>
      </w:r>
      <w:r w:rsidR="00D77EB9">
        <w:rPr>
          <w:lang w:val="hr-HR"/>
        </w:rPr>
        <w:t>dređenu</w:t>
      </w:r>
      <w:r w:rsidR="005D62A7">
        <w:rPr>
          <w:lang w:val="hr-HR"/>
        </w:rPr>
        <w:t xml:space="preserve"> zaštićen</w:t>
      </w:r>
      <w:r w:rsidR="00D77EB9">
        <w:rPr>
          <w:lang w:val="hr-HR"/>
        </w:rPr>
        <w:t>u</w:t>
      </w:r>
      <w:r w:rsidR="005D62A7">
        <w:rPr>
          <w:lang w:val="hr-HR"/>
        </w:rPr>
        <w:t xml:space="preserve"> stavk</w:t>
      </w:r>
      <w:r w:rsidR="00D77EB9">
        <w:rPr>
          <w:lang w:val="hr-HR"/>
        </w:rPr>
        <w:t>u</w:t>
      </w:r>
      <w:r w:rsidR="005D62A7">
        <w:rPr>
          <w:lang w:val="hr-HR"/>
        </w:rPr>
        <w:t xml:space="preserve">, subjekt koristi pretpostavke u pogledu količine koje su jednake pretpostavkama koje je koristio za mjerenje instrumenta zaštite. Usklađivanje pretpostavki o količinama za zaštićenu stavku s onima za instrument zaštite </w:t>
      </w:r>
      <w:r w:rsidR="00CF5079">
        <w:rPr>
          <w:lang w:val="hr-HR"/>
        </w:rPr>
        <w:t xml:space="preserve">ograđuje odnos zaštite od neučinkovitosti zaštite koju uzrokuje poređenje fiksne nominalne </w:t>
      </w:r>
      <w:r w:rsidR="00D77EB9">
        <w:rPr>
          <w:lang w:val="hr-HR"/>
        </w:rPr>
        <w:t>vrijednosti</w:t>
      </w:r>
      <w:r w:rsidR="00CF5079">
        <w:rPr>
          <w:lang w:val="hr-HR"/>
        </w:rPr>
        <w:t xml:space="preserve"> sa promjenjivom nominalnom </w:t>
      </w:r>
      <w:r w:rsidR="00D77EB9">
        <w:rPr>
          <w:lang w:val="hr-HR"/>
        </w:rPr>
        <w:t>vrijednošću</w:t>
      </w:r>
      <w:r w:rsidR="00CF5079">
        <w:rPr>
          <w:lang w:val="hr-HR"/>
        </w:rPr>
        <w:t xml:space="preserve"> (odnosno neizvjesnosti u vezi sa količinom). </w:t>
      </w:r>
    </w:p>
    <w:p w14:paraId="6F706588" w14:textId="4A3D3369" w:rsidR="00014FB0" w:rsidRPr="00EF5D0A" w:rsidRDefault="00A92D4A" w:rsidP="00EE2662">
      <w:pPr>
        <w:pStyle w:val="IASBNormalnpara"/>
        <w:spacing w:before="80"/>
        <w:rPr>
          <w:lang w:val="hr-HR"/>
        </w:rPr>
      </w:pPr>
      <w:r>
        <w:rPr>
          <w:lang w:val="hr-HR"/>
        </w:rPr>
        <w:t>OZ</w:t>
      </w:r>
      <w:r w:rsidR="001C3CBD" w:rsidRPr="00EF5D0A">
        <w:rPr>
          <w:lang w:val="hr-HR"/>
        </w:rPr>
        <w:t>6.677</w:t>
      </w:r>
      <w:r w:rsidR="001C3CBD" w:rsidRPr="00EF5D0A">
        <w:rPr>
          <w:lang w:val="hr-HR"/>
        </w:rPr>
        <w:tab/>
      </w:r>
      <w:r w:rsidR="001C3CBD" w:rsidRPr="00CF5079">
        <w:rPr>
          <w:i/>
          <w:iCs/>
          <w:lang w:val="hr-HR"/>
        </w:rPr>
        <w:t>IASB</w:t>
      </w:r>
      <w:r w:rsidR="001C3CBD" w:rsidRPr="00EF5D0A">
        <w:rPr>
          <w:lang w:val="hr-HR"/>
        </w:rPr>
        <w:t xml:space="preserve"> </w:t>
      </w:r>
      <w:r w:rsidR="00CF5079">
        <w:rPr>
          <w:lang w:val="hr-HR"/>
        </w:rPr>
        <w:t>j</w:t>
      </w:r>
      <w:r w:rsidR="007E3873">
        <w:rPr>
          <w:lang w:val="hr-HR"/>
        </w:rPr>
        <w:t>e prepoznao da ne bi trebalo dolaziti do neučinkovitosti zaštite od rizika izazvane neizvjesnošću u vezi sa količinom jer su količina prodaje i količina električne energije obuhvaćen</w:t>
      </w:r>
      <w:r w:rsidR="00856595">
        <w:rPr>
          <w:lang w:val="hr-HR"/>
        </w:rPr>
        <w:t>e</w:t>
      </w:r>
      <w:r w:rsidR="007E3873">
        <w:rPr>
          <w:lang w:val="hr-HR"/>
        </w:rPr>
        <w:t xml:space="preserve"> ugovorom </w:t>
      </w:r>
      <w:r w:rsidR="00856595">
        <w:rPr>
          <w:lang w:val="hr-HR"/>
        </w:rPr>
        <w:t>o</w:t>
      </w:r>
      <w:r w:rsidR="007E3873">
        <w:rPr>
          <w:lang w:val="hr-HR"/>
        </w:rPr>
        <w:t xml:space="preserve"> električn</w:t>
      </w:r>
      <w:r w:rsidR="00856595">
        <w:rPr>
          <w:lang w:val="hr-HR"/>
        </w:rPr>
        <w:t>oj</w:t>
      </w:r>
      <w:r w:rsidR="007E3873">
        <w:rPr>
          <w:lang w:val="hr-HR"/>
        </w:rPr>
        <w:t xml:space="preserve"> energij</w:t>
      </w:r>
      <w:r w:rsidR="00856595">
        <w:rPr>
          <w:lang w:val="hr-HR"/>
        </w:rPr>
        <w:t>i</w:t>
      </w:r>
      <w:r w:rsidR="007E3873">
        <w:rPr>
          <w:lang w:val="hr-HR"/>
        </w:rPr>
        <w:t xml:space="preserve"> iz </w:t>
      </w:r>
      <w:r w:rsidR="00856595">
        <w:rPr>
          <w:lang w:val="hr-HR"/>
        </w:rPr>
        <w:t xml:space="preserve">izvora zavisnih od </w:t>
      </w:r>
      <w:r w:rsidR="007E3873">
        <w:rPr>
          <w:lang w:val="hr-HR"/>
        </w:rPr>
        <w:t xml:space="preserve">prirodnih </w:t>
      </w:r>
      <w:r w:rsidR="00856595">
        <w:rPr>
          <w:lang w:val="hr-HR"/>
        </w:rPr>
        <w:t>uslova</w:t>
      </w:r>
      <w:r w:rsidR="007E3873">
        <w:rPr>
          <w:lang w:val="hr-HR"/>
        </w:rPr>
        <w:t xml:space="preserve"> u pravilu usklađene, što ekonomski ne vodi neučinkovitosti zaštite kroz nepodudaranj</w:t>
      </w:r>
      <w:r w:rsidR="00856595">
        <w:rPr>
          <w:lang w:val="hr-HR"/>
        </w:rPr>
        <w:t>e</w:t>
      </w:r>
      <w:r w:rsidR="007E3873">
        <w:rPr>
          <w:lang w:val="hr-HR"/>
        </w:rPr>
        <w:t xml:space="preserve"> količina kako </w:t>
      </w:r>
      <w:r w:rsidR="00856595">
        <w:rPr>
          <w:lang w:val="hr-HR"/>
        </w:rPr>
        <w:t>je</w:t>
      </w:r>
      <w:r w:rsidR="007E3873">
        <w:rPr>
          <w:lang w:val="hr-HR"/>
        </w:rPr>
        <w:t xml:space="preserve"> opisan</w:t>
      </w:r>
      <w:r w:rsidR="00856595">
        <w:rPr>
          <w:lang w:val="hr-HR"/>
        </w:rPr>
        <w:t>o</w:t>
      </w:r>
      <w:r w:rsidR="007E3873">
        <w:rPr>
          <w:lang w:val="hr-HR"/>
        </w:rPr>
        <w:t xml:space="preserve"> u tački </w:t>
      </w:r>
      <w:r>
        <w:rPr>
          <w:lang w:val="hr-HR"/>
        </w:rPr>
        <w:t>OZ</w:t>
      </w:r>
      <w:r w:rsidR="001C3CBD" w:rsidRPr="00EF5D0A">
        <w:rPr>
          <w:lang w:val="hr-HR"/>
        </w:rPr>
        <w:t xml:space="preserve">6.676. </w:t>
      </w:r>
      <w:r w:rsidR="007E3873">
        <w:rPr>
          <w:lang w:val="hr-HR"/>
        </w:rPr>
        <w:t xml:space="preserve">Oni su, međutim, konstatovali da neučinkovitost zaštite za predviđene transakcije električnom energijom može dolaziti iz drugih izvora, naročito u odnosu na nabavke električne energije. </w:t>
      </w:r>
      <w:r w:rsidR="001C3CBD" w:rsidRPr="007E3873">
        <w:rPr>
          <w:i/>
          <w:iCs/>
          <w:lang w:val="hr-HR"/>
        </w:rPr>
        <w:t>IASB</w:t>
      </w:r>
      <w:r w:rsidR="001C3CBD" w:rsidRPr="00EF5D0A">
        <w:rPr>
          <w:lang w:val="hr-HR"/>
        </w:rPr>
        <w:t xml:space="preserve"> </w:t>
      </w:r>
      <w:r w:rsidR="007E3873">
        <w:rPr>
          <w:lang w:val="hr-HR"/>
        </w:rPr>
        <w:t xml:space="preserve">je primijetio da je moguć ekonomski efekat, na primjer, tamo gdje postoje razlike između: </w:t>
      </w:r>
    </w:p>
    <w:p w14:paraId="45F402B9" w14:textId="64AB53CA" w:rsidR="00014FB0" w:rsidRPr="00EF5D0A" w:rsidRDefault="001C3CBD" w:rsidP="009F2692">
      <w:pPr>
        <w:pStyle w:val="IASBNormalnparaL1"/>
        <w:spacing w:before="60"/>
        <w:rPr>
          <w:lang w:val="hr-HR"/>
        </w:rPr>
      </w:pPr>
      <w:r w:rsidRPr="00EF5D0A">
        <w:rPr>
          <w:lang w:val="hr-HR"/>
        </w:rPr>
        <w:t>(a)</w:t>
      </w:r>
      <w:r w:rsidRPr="00EF5D0A">
        <w:rPr>
          <w:lang w:val="hr-HR"/>
        </w:rPr>
        <w:tab/>
      </w:r>
      <w:r w:rsidR="007E3873">
        <w:rPr>
          <w:lang w:val="hr-HR"/>
        </w:rPr>
        <w:t xml:space="preserve">termina nabavki električne energije na promptnom tržištu i termina stvarnih isporuka koji se koriste za izračunavanje novčanih tokova u okviru ugovora </w:t>
      </w:r>
      <w:r w:rsidR="00856595">
        <w:rPr>
          <w:lang w:val="hr-HR"/>
        </w:rPr>
        <w:t xml:space="preserve">o </w:t>
      </w:r>
      <w:r w:rsidR="007E3873">
        <w:rPr>
          <w:lang w:val="hr-HR"/>
        </w:rPr>
        <w:t>električn</w:t>
      </w:r>
      <w:r w:rsidR="00856595">
        <w:rPr>
          <w:lang w:val="hr-HR"/>
        </w:rPr>
        <w:t>oj</w:t>
      </w:r>
      <w:r w:rsidR="007E3873">
        <w:rPr>
          <w:lang w:val="hr-HR"/>
        </w:rPr>
        <w:t xml:space="preserve"> energij</w:t>
      </w:r>
      <w:r w:rsidR="00856595">
        <w:rPr>
          <w:lang w:val="hr-HR"/>
        </w:rPr>
        <w:t>i</w:t>
      </w:r>
      <w:r w:rsidR="007E3873">
        <w:rPr>
          <w:lang w:val="hr-HR"/>
        </w:rPr>
        <w:t xml:space="preserve"> iz </w:t>
      </w:r>
      <w:r w:rsidR="00856595">
        <w:rPr>
          <w:lang w:val="hr-HR"/>
        </w:rPr>
        <w:t xml:space="preserve">izvora zavisnih od </w:t>
      </w:r>
      <w:r w:rsidR="007E3873">
        <w:rPr>
          <w:lang w:val="hr-HR"/>
        </w:rPr>
        <w:t xml:space="preserve">prirodnih </w:t>
      </w:r>
      <w:r w:rsidR="00856595">
        <w:rPr>
          <w:lang w:val="hr-HR"/>
        </w:rPr>
        <w:t>uslova</w:t>
      </w:r>
      <w:r w:rsidR="007E3873">
        <w:rPr>
          <w:lang w:val="hr-HR"/>
        </w:rPr>
        <w:t xml:space="preserve"> (strukturnih razlika u cijenama </w:t>
      </w:r>
      <w:r w:rsidR="00A44276">
        <w:rPr>
          <w:lang w:val="hr-HR"/>
        </w:rPr>
        <w:t xml:space="preserve">nabavke, odnosno potrošnje i isporuke električne energije); </w:t>
      </w:r>
    </w:p>
    <w:p w14:paraId="3D1957D6" w14:textId="524D9F86" w:rsidR="00014FB0" w:rsidRPr="00EF5D0A" w:rsidRDefault="001C3CBD" w:rsidP="009F2692">
      <w:pPr>
        <w:pStyle w:val="IASBNormalnparaL1"/>
        <w:spacing w:before="60"/>
        <w:rPr>
          <w:lang w:val="hr-HR"/>
        </w:rPr>
      </w:pPr>
      <w:r w:rsidRPr="00EF5D0A">
        <w:rPr>
          <w:lang w:val="hr-HR"/>
        </w:rPr>
        <w:t>(b)</w:t>
      </w:r>
      <w:r w:rsidRPr="00EF5D0A">
        <w:rPr>
          <w:lang w:val="hr-HR"/>
        </w:rPr>
        <w:tab/>
      </w:r>
      <w:r w:rsidR="00A44276">
        <w:rPr>
          <w:lang w:val="hr-HR"/>
        </w:rPr>
        <w:t xml:space="preserve">količine električne energije koja je obuhvaćena ugovorom </w:t>
      </w:r>
      <w:r w:rsidR="000A67B4">
        <w:rPr>
          <w:lang w:val="hr-HR"/>
        </w:rPr>
        <w:t>o</w:t>
      </w:r>
      <w:r w:rsidR="00A44276">
        <w:rPr>
          <w:lang w:val="hr-HR"/>
        </w:rPr>
        <w:t xml:space="preserve"> električn</w:t>
      </w:r>
      <w:r w:rsidR="000A67B4">
        <w:rPr>
          <w:lang w:val="hr-HR"/>
        </w:rPr>
        <w:t>oj</w:t>
      </w:r>
      <w:r w:rsidR="00A44276">
        <w:rPr>
          <w:lang w:val="hr-HR"/>
        </w:rPr>
        <w:t xml:space="preserve"> energij</w:t>
      </w:r>
      <w:r w:rsidR="000A67B4">
        <w:rPr>
          <w:lang w:val="hr-HR"/>
        </w:rPr>
        <w:t>i</w:t>
      </w:r>
      <w:r w:rsidR="00A44276">
        <w:rPr>
          <w:lang w:val="hr-HR"/>
        </w:rPr>
        <w:t xml:space="preserve"> iz </w:t>
      </w:r>
      <w:r w:rsidR="000A67B4">
        <w:rPr>
          <w:lang w:val="hr-HR"/>
        </w:rPr>
        <w:t xml:space="preserve">izvora zavisnih od </w:t>
      </w:r>
      <w:r w:rsidR="00A44276">
        <w:rPr>
          <w:lang w:val="hr-HR"/>
        </w:rPr>
        <w:t xml:space="preserve">prirodnih </w:t>
      </w:r>
      <w:r w:rsidR="000A67B4">
        <w:rPr>
          <w:lang w:val="hr-HR"/>
        </w:rPr>
        <w:t>uslova</w:t>
      </w:r>
      <w:r w:rsidR="00A44276">
        <w:rPr>
          <w:lang w:val="hr-HR"/>
        </w:rPr>
        <w:t xml:space="preserve"> i količine promptnih nabavki. Ako količina uređena ugovorom prelazi nabavljenu količinu, promjena fer vrijednosti instrumenta zaštite bi premašivala promjenu vrijednosti </w:t>
      </w:r>
      <w:r w:rsidR="000A67B4">
        <w:rPr>
          <w:lang w:val="hr-HR"/>
        </w:rPr>
        <w:t>zaštićene stavke</w:t>
      </w:r>
      <w:r w:rsidR="00A44276">
        <w:rPr>
          <w:lang w:val="hr-HR"/>
        </w:rPr>
        <w:t xml:space="preserve">; </w:t>
      </w:r>
      <w:r w:rsidR="000A67B4">
        <w:rPr>
          <w:lang w:val="hr-HR"/>
        </w:rPr>
        <w:t>i</w:t>
      </w:r>
    </w:p>
    <w:p w14:paraId="104B8469" w14:textId="0E1943DF" w:rsidR="00014FB0" w:rsidRPr="00EF5D0A" w:rsidRDefault="001C3CBD" w:rsidP="009F2692">
      <w:pPr>
        <w:pStyle w:val="IASBNormalnparaL1"/>
        <w:spacing w:before="60"/>
        <w:rPr>
          <w:lang w:val="hr-HR"/>
        </w:rPr>
      </w:pPr>
      <w:r w:rsidRPr="00EF5D0A">
        <w:rPr>
          <w:lang w:val="hr-HR"/>
        </w:rPr>
        <w:t>(c)</w:t>
      </w:r>
      <w:r w:rsidRPr="00EF5D0A">
        <w:rPr>
          <w:lang w:val="hr-HR"/>
        </w:rPr>
        <w:tab/>
      </w:r>
      <w:r w:rsidR="00A44276">
        <w:rPr>
          <w:lang w:val="hr-HR"/>
        </w:rPr>
        <w:t xml:space="preserve">promptne cijene na tržištu </w:t>
      </w:r>
      <w:r w:rsidR="000A67B4">
        <w:rPr>
          <w:lang w:val="hr-HR"/>
        </w:rPr>
        <w:t>na</w:t>
      </w:r>
      <w:r w:rsidR="00A44276">
        <w:rPr>
          <w:lang w:val="hr-HR"/>
        </w:rPr>
        <w:t xml:space="preserve"> kojem se vrše predviđene nabavke (rizik od kojeg se štiti) i promptne cijene na tržištu na kojem se izmiruje ugovor </w:t>
      </w:r>
      <w:r w:rsidR="000A67B4">
        <w:rPr>
          <w:lang w:val="hr-HR"/>
        </w:rPr>
        <w:t>o</w:t>
      </w:r>
      <w:r w:rsidR="00A44276">
        <w:rPr>
          <w:lang w:val="hr-HR"/>
        </w:rPr>
        <w:t xml:space="preserve"> električn</w:t>
      </w:r>
      <w:r w:rsidR="000A67B4">
        <w:rPr>
          <w:lang w:val="hr-HR"/>
        </w:rPr>
        <w:t>oj</w:t>
      </w:r>
      <w:r w:rsidR="00A44276">
        <w:rPr>
          <w:lang w:val="hr-HR"/>
        </w:rPr>
        <w:t xml:space="preserve"> energij</w:t>
      </w:r>
      <w:r w:rsidR="000A67B4">
        <w:rPr>
          <w:lang w:val="hr-HR"/>
        </w:rPr>
        <w:t>i</w:t>
      </w:r>
      <w:r w:rsidR="00A44276">
        <w:rPr>
          <w:lang w:val="hr-HR"/>
        </w:rPr>
        <w:t xml:space="preserve"> iz </w:t>
      </w:r>
      <w:r w:rsidR="000A67B4">
        <w:rPr>
          <w:lang w:val="hr-HR"/>
        </w:rPr>
        <w:t xml:space="preserve">izvora zavisnih od </w:t>
      </w:r>
      <w:r w:rsidR="00A44276">
        <w:rPr>
          <w:lang w:val="hr-HR"/>
        </w:rPr>
        <w:t xml:space="preserve">prirodnih </w:t>
      </w:r>
      <w:r w:rsidR="000A67B4">
        <w:rPr>
          <w:lang w:val="hr-HR"/>
        </w:rPr>
        <w:t>uslova</w:t>
      </w:r>
      <w:r w:rsidR="00A44276">
        <w:rPr>
          <w:lang w:val="hr-HR"/>
        </w:rPr>
        <w:t>. To bi se desilo, na primjer, ako bi subjekt koji nabavlja električnu energiju u jednoj jurisdikciji s</w:t>
      </w:r>
      <w:r w:rsidR="003B4220">
        <w:rPr>
          <w:lang w:val="hr-HR"/>
        </w:rPr>
        <w:t>klopio</w:t>
      </w:r>
      <w:r w:rsidR="00A44276">
        <w:rPr>
          <w:lang w:val="hr-HR"/>
        </w:rPr>
        <w:t xml:space="preserve"> ugovor </w:t>
      </w:r>
      <w:r w:rsidR="003B4220">
        <w:rPr>
          <w:lang w:val="hr-HR"/>
        </w:rPr>
        <w:t xml:space="preserve">o </w:t>
      </w:r>
      <w:r w:rsidR="00A44276">
        <w:rPr>
          <w:lang w:val="hr-HR"/>
        </w:rPr>
        <w:t>električn</w:t>
      </w:r>
      <w:r w:rsidR="003B4220">
        <w:rPr>
          <w:lang w:val="hr-HR"/>
        </w:rPr>
        <w:t>oj</w:t>
      </w:r>
      <w:r w:rsidR="00A44276">
        <w:rPr>
          <w:lang w:val="hr-HR"/>
        </w:rPr>
        <w:t xml:space="preserve"> energij</w:t>
      </w:r>
      <w:r w:rsidR="003B4220">
        <w:rPr>
          <w:lang w:val="hr-HR"/>
        </w:rPr>
        <w:t>i</w:t>
      </w:r>
      <w:r w:rsidR="00A44276">
        <w:rPr>
          <w:lang w:val="hr-HR"/>
        </w:rPr>
        <w:t xml:space="preserve"> iz </w:t>
      </w:r>
      <w:r w:rsidR="003B4220">
        <w:rPr>
          <w:lang w:val="hr-HR"/>
        </w:rPr>
        <w:t xml:space="preserve">izvora zavisnih od </w:t>
      </w:r>
      <w:r w:rsidR="00A44276">
        <w:rPr>
          <w:lang w:val="hr-HR"/>
        </w:rPr>
        <w:t xml:space="preserve">prirodnih </w:t>
      </w:r>
      <w:r w:rsidR="003B4220">
        <w:rPr>
          <w:lang w:val="hr-HR"/>
        </w:rPr>
        <w:t>uslova</w:t>
      </w:r>
      <w:r w:rsidR="00A44276">
        <w:rPr>
          <w:lang w:val="hr-HR"/>
        </w:rPr>
        <w:t xml:space="preserve"> koji, za potrebe izmirenja, uređuje promptnu cijenu u drugoj jurisdikciji. </w:t>
      </w:r>
    </w:p>
    <w:p w14:paraId="3C23778D" w14:textId="1D7FFDAA" w:rsidR="00014FB0" w:rsidRPr="00EF5D0A" w:rsidRDefault="00A92D4A" w:rsidP="00770220">
      <w:pPr>
        <w:pStyle w:val="IASBNormalnpara"/>
        <w:tabs>
          <w:tab w:val="left" w:pos="5387"/>
        </w:tabs>
        <w:rPr>
          <w:lang w:val="hr-HR"/>
        </w:rPr>
      </w:pPr>
      <w:r>
        <w:rPr>
          <w:lang w:val="hr-HR"/>
        </w:rPr>
        <w:t>OZ</w:t>
      </w:r>
      <w:r w:rsidR="001C3CBD" w:rsidRPr="00EF5D0A">
        <w:rPr>
          <w:lang w:val="hr-HR"/>
        </w:rPr>
        <w:t>6.678</w:t>
      </w:r>
      <w:r w:rsidR="001C3CBD" w:rsidRPr="00EF5D0A">
        <w:rPr>
          <w:lang w:val="hr-HR"/>
        </w:rPr>
        <w:tab/>
      </w:r>
      <w:r w:rsidR="00A44276">
        <w:rPr>
          <w:lang w:val="hr-HR"/>
        </w:rPr>
        <w:t>MSFI</w:t>
      </w:r>
      <w:r w:rsidR="001C3CBD" w:rsidRPr="00EF5D0A">
        <w:rPr>
          <w:lang w:val="hr-HR"/>
        </w:rPr>
        <w:t xml:space="preserve"> 9 </w:t>
      </w:r>
      <w:r w:rsidR="00A44276">
        <w:rPr>
          <w:lang w:val="hr-HR"/>
        </w:rPr>
        <w:t xml:space="preserve">ne zahtijeva da odnos zaštite od rizika bude u potpunosti učinkovit. Kao što je objašnjeno u tački </w:t>
      </w:r>
      <w:r>
        <w:rPr>
          <w:lang w:val="hr-HR"/>
        </w:rPr>
        <w:t>OZ</w:t>
      </w:r>
      <w:r w:rsidR="001C3CBD" w:rsidRPr="00EF5D0A">
        <w:rPr>
          <w:lang w:val="hr-HR"/>
        </w:rPr>
        <w:t xml:space="preserve">6.241, </w:t>
      </w:r>
      <w:r w:rsidR="009D46A0">
        <w:rPr>
          <w:lang w:val="hr-HR"/>
        </w:rPr>
        <w:t xml:space="preserve">značajan broj odnosa zaštite podrazumijevaju određeni nivo neučinkovitosti koja se ne može </w:t>
      </w:r>
      <w:r w:rsidR="00770220">
        <w:rPr>
          <w:lang w:val="hr-HR"/>
        </w:rPr>
        <w:t>otk</w:t>
      </w:r>
      <w:r w:rsidR="009D46A0">
        <w:rPr>
          <w:lang w:val="hr-HR"/>
        </w:rPr>
        <w:t xml:space="preserve">loniti </w:t>
      </w:r>
      <w:r w:rsidR="00D970B0">
        <w:rPr>
          <w:lang w:val="hr-HR"/>
        </w:rPr>
        <w:t>zbog</w:t>
      </w:r>
      <w:r w:rsidR="009D46A0">
        <w:rPr>
          <w:lang w:val="hr-HR"/>
        </w:rPr>
        <w:t xml:space="preserve"> razlik</w:t>
      </w:r>
      <w:r w:rsidR="00D970B0">
        <w:rPr>
          <w:lang w:val="hr-HR"/>
        </w:rPr>
        <w:t>a</w:t>
      </w:r>
      <w:r w:rsidR="009D46A0">
        <w:rPr>
          <w:lang w:val="hr-HR"/>
        </w:rPr>
        <w:t xml:space="preserve"> u predmetu zaštite ili drug</w:t>
      </w:r>
      <w:r w:rsidR="00D970B0">
        <w:rPr>
          <w:lang w:val="hr-HR"/>
        </w:rPr>
        <w:t xml:space="preserve">ih </w:t>
      </w:r>
      <w:r w:rsidR="009D46A0">
        <w:rPr>
          <w:lang w:val="hr-HR"/>
        </w:rPr>
        <w:t>razlik</w:t>
      </w:r>
      <w:r w:rsidR="00D970B0">
        <w:rPr>
          <w:lang w:val="hr-HR"/>
        </w:rPr>
        <w:t>a</w:t>
      </w:r>
      <w:r w:rsidR="009D46A0">
        <w:rPr>
          <w:lang w:val="hr-HR"/>
        </w:rPr>
        <w:t xml:space="preserve"> između instrumenta zaštite i stavke koja se štiti koje subjekt</w:t>
      </w:r>
      <w:r w:rsidR="00D970B0">
        <w:rPr>
          <w:lang w:val="hr-HR"/>
        </w:rPr>
        <w:t xml:space="preserve"> prihvati kako bi ostvario isplativ odnos zaštite. </w:t>
      </w:r>
    </w:p>
    <w:p w14:paraId="37AE3A09" w14:textId="6212F6BF" w:rsidR="00014FB0" w:rsidRPr="00EF5D0A" w:rsidRDefault="00A92D4A">
      <w:pPr>
        <w:pStyle w:val="IASBNormalnpara"/>
        <w:rPr>
          <w:lang w:val="hr-HR"/>
        </w:rPr>
      </w:pPr>
      <w:r>
        <w:rPr>
          <w:lang w:val="hr-HR"/>
        </w:rPr>
        <w:t>OZ</w:t>
      </w:r>
      <w:r w:rsidR="001C3CBD" w:rsidRPr="00EF5D0A">
        <w:rPr>
          <w:lang w:val="hr-HR"/>
        </w:rPr>
        <w:t>6.679</w:t>
      </w:r>
      <w:r w:rsidR="001C3CBD" w:rsidRPr="00EF5D0A">
        <w:rPr>
          <w:lang w:val="hr-HR"/>
        </w:rPr>
        <w:tab/>
      </w:r>
      <w:r w:rsidR="001C3CBD" w:rsidRPr="00D970B0">
        <w:rPr>
          <w:i/>
          <w:iCs/>
          <w:lang w:val="hr-HR"/>
        </w:rPr>
        <w:t>IASB</w:t>
      </w:r>
      <w:r w:rsidR="001C3CBD" w:rsidRPr="00EF5D0A">
        <w:rPr>
          <w:lang w:val="hr-HR"/>
        </w:rPr>
        <w:t xml:space="preserve"> </w:t>
      </w:r>
      <w:r w:rsidR="00D970B0">
        <w:rPr>
          <w:lang w:val="hr-HR"/>
        </w:rPr>
        <w:t>je, međutim, napomenuo da bi, kod primjene tačke</w:t>
      </w:r>
      <w:r w:rsidR="001C3CBD" w:rsidRPr="00EF5D0A">
        <w:rPr>
          <w:lang w:val="hr-HR"/>
        </w:rPr>
        <w:t xml:space="preserve"> 6.5.11 </w:t>
      </w:r>
      <w:r w:rsidR="00D970B0">
        <w:rPr>
          <w:lang w:val="hr-HR"/>
        </w:rPr>
        <w:t>MSFI-ja</w:t>
      </w:r>
      <w:r w:rsidR="001C3CBD" w:rsidRPr="00EF5D0A">
        <w:rPr>
          <w:lang w:val="hr-HR"/>
        </w:rPr>
        <w:t xml:space="preserve"> 9 </w:t>
      </w:r>
      <w:r w:rsidR="00D970B0">
        <w:rPr>
          <w:lang w:val="hr-HR"/>
        </w:rPr>
        <w:t xml:space="preserve">kako bi utvrdio neučinkovitost zaštite od rizika, subjekt u mjerenje uvrstio razlike u cijenama između zaštićene stavke i instrumenta zaštite ili druge razlike koje predstavljaju stvarne ekonomske efekte. </w:t>
      </w:r>
    </w:p>
    <w:p w14:paraId="31F52EA2" w14:textId="7D5BA2C2" w:rsidR="00014FB0" w:rsidRPr="00EF5D0A" w:rsidRDefault="00A92D4A">
      <w:pPr>
        <w:pStyle w:val="IASBNormalnpara"/>
        <w:rPr>
          <w:lang w:val="hr-HR"/>
        </w:rPr>
      </w:pPr>
      <w:r>
        <w:rPr>
          <w:lang w:val="hr-HR"/>
        </w:rPr>
        <w:t>OZ</w:t>
      </w:r>
      <w:r w:rsidR="001C3CBD" w:rsidRPr="00EF5D0A">
        <w:rPr>
          <w:lang w:val="hr-HR"/>
        </w:rPr>
        <w:t>6.680</w:t>
      </w:r>
      <w:r w:rsidR="001C3CBD" w:rsidRPr="00EF5D0A">
        <w:rPr>
          <w:lang w:val="hr-HR"/>
        </w:rPr>
        <w:tab/>
      </w:r>
      <w:r w:rsidR="001C3CBD" w:rsidRPr="000F78B7">
        <w:rPr>
          <w:i/>
          <w:iCs/>
          <w:lang w:val="hr-HR"/>
        </w:rPr>
        <w:t>IASB</w:t>
      </w:r>
      <w:r w:rsidR="001C3CBD" w:rsidRPr="00EF5D0A">
        <w:rPr>
          <w:lang w:val="hr-HR"/>
        </w:rPr>
        <w:t xml:space="preserve"> </w:t>
      </w:r>
      <w:r w:rsidR="00B42E4E">
        <w:rPr>
          <w:lang w:val="hr-HR"/>
        </w:rPr>
        <w:t xml:space="preserve">je konstatovao da pitanja u vezi sa preciznošću vremenskih intervala </w:t>
      </w:r>
      <w:r w:rsidR="00D11AE6">
        <w:rPr>
          <w:lang w:val="hr-HR"/>
        </w:rPr>
        <w:t xml:space="preserve">u kojima </w:t>
      </w:r>
      <w:r w:rsidR="00B42E4E">
        <w:rPr>
          <w:lang w:val="hr-HR"/>
        </w:rPr>
        <w:t xml:space="preserve">se mjere zaštićeni novčani tokovi nisu svojstvena isključivo odnosima zaštite na koje bi subjekt primijenio predmetne izmjene i dopune. Postoje razne situacije kada bi se očekivalo da se predviđene transakcije dešavaju tokom cijelog perioda a ne samo jednom. Konstatovali su i to da </w:t>
      </w:r>
      <w:r w:rsidR="00D11AE6">
        <w:rPr>
          <w:lang w:val="hr-HR"/>
        </w:rPr>
        <w:t xml:space="preserve">se </w:t>
      </w:r>
      <w:r w:rsidR="00B42E4E">
        <w:rPr>
          <w:lang w:val="hr-HR"/>
        </w:rPr>
        <w:t xml:space="preserve">ista situacija javlja i kod ugovora </w:t>
      </w:r>
      <w:r w:rsidR="00D11AE6">
        <w:rPr>
          <w:lang w:val="hr-HR"/>
        </w:rPr>
        <w:t xml:space="preserve">o </w:t>
      </w:r>
      <w:r w:rsidR="00B42E4E">
        <w:rPr>
          <w:lang w:val="hr-HR"/>
        </w:rPr>
        <w:t>električn</w:t>
      </w:r>
      <w:r w:rsidR="00D11AE6">
        <w:rPr>
          <w:lang w:val="hr-HR"/>
        </w:rPr>
        <w:t>oj</w:t>
      </w:r>
      <w:r w:rsidR="00B42E4E">
        <w:rPr>
          <w:lang w:val="hr-HR"/>
        </w:rPr>
        <w:t xml:space="preserve"> energij</w:t>
      </w:r>
      <w:r w:rsidR="00D11AE6">
        <w:rPr>
          <w:lang w:val="hr-HR"/>
        </w:rPr>
        <w:t>i iz izvora zavisnih od prirodnih uslova</w:t>
      </w:r>
      <w:r w:rsidR="00B42E4E">
        <w:rPr>
          <w:lang w:val="hr-HR"/>
        </w:rPr>
        <w:t xml:space="preserve">, to jeste </w:t>
      </w:r>
      <w:r w:rsidR="00D11AE6">
        <w:rPr>
          <w:lang w:val="hr-HR"/>
        </w:rPr>
        <w:t xml:space="preserve">da </w:t>
      </w:r>
      <w:r w:rsidR="00B42E4E">
        <w:rPr>
          <w:lang w:val="hr-HR"/>
        </w:rPr>
        <w:t xml:space="preserve">dolazi do isporuke </w:t>
      </w:r>
      <w:r w:rsidR="00D11AE6">
        <w:rPr>
          <w:lang w:val="hr-HR"/>
        </w:rPr>
        <w:t xml:space="preserve">tog vida </w:t>
      </w:r>
      <w:r w:rsidR="00B42E4E">
        <w:rPr>
          <w:lang w:val="hr-HR"/>
        </w:rPr>
        <w:t>električne e</w:t>
      </w:r>
      <w:r w:rsidR="00D11AE6">
        <w:rPr>
          <w:lang w:val="hr-HR"/>
        </w:rPr>
        <w:t>n</w:t>
      </w:r>
      <w:r w:rsidR="00B42E4E">
        <w:rPr>
          <w:lang w:val="hr-HR"/>
        </w:rPr>
        <w:t>ergij</w:t>
      </w:r>
      <w:r w:rsidR="00D11AE6">
        <w:rPr>
          <w:lang w:val="hr-HR"/>
        </w:rPr>
        <w:t>e</w:t>
      </w:r>
      <w:r w:rsidR="00B42E4E">
        <w:rPr>
          <w:lang w:val="hr-HR"/>
        </w:rPr>
        <w:t xml:space="preserve"> koja iziskuje da se ugovor izmiruje tokom cijelog predmetnog perioda. Prema tome, subjekti bi zaštićene novčane tokove mogli mjeriti pomoću metode slične onoj koju koriste za mjerenje zaštićenih stavki ili instrumenata zaštite za koje se transakcije dešavaju tokom cijelog perioda. </w:t>
      </w:r>
    </w:p>
    <w:p w14:paraId="260ABBA5" w14:textId="0EC0A67D" w:rsidR="00014FB0" w:rsidRPr="00EF5D0A" w:rsidRDefault="00A92D4A">
      <w:pPr>
        <w:pStyle w:val="IASBNormalnpara"/>
        <w:rPr>
          <w:lang w:val="hr-HR"/>
        </w:rPr>
      </w:pPr>
      <w:r>
        <w:rPr>
          <w:lang w:val="hr-HR"/>
        </w:rPr>
        <w:t>OZ</w:t>
      </w:r>
      <w:r w:rsidR="001C3CBD" w:rsidRPr="00EF5D0A">
        <w:rPr>
          <w:lang w:val="hr-HR"/>
        </w:rPr>
        <w:t>6.681</w:t>
      </w:r>
      <w:r w:rsidR="001C3CBD" w:rsidRPr="00EF5D0A">
        <w:rPr>
          <w:lang w:val="hr-HR"/>
        </w:rPr>
        <w:tab/>
      </w:r>
      <w:r w:rsidR="001C3CBD" w:rsidRPr="00B42E4E">
        <w:rPr>
          <w:i/>
          <w:iCs/>
          <w:lang w:val="hr-HR"/>
        </w:rPr>
        <w:t>IASB</w:t>
      </w:r>
      <w:r w:rsidR="001C3CBD" w:rsidRPr="00EF5D0A">
        <w:rPr>
          <w:lang w:val="hr-HR"/>
        </w:rPr>
        <w:t xml:space="preserve"> </w:t>
      </w:r>
      <w:r w:rsidR="00B42E4E">
        <w:rPr>
          <w:lang w:val="hr-HR"/>
        </w:rPr>
        <w:t xml:space="preserve">je uvažio zabrinutost koja je izražena u komentarima na prednacrt a tiče se toga da bi zaštićene stavke mogle prosto odražavati instrument zaštite ako bi subjekti iste pretpostavke u vezi sa količinama koje su koristili u odnosu na instrument zaštite koristili i za mjerenje zaštićene stavke. </w:t>
      </w:r>
      <w:r w:rsidR="001C3CBD" w:rsidRPr="00B42E4E">
        <w:rPr>
          <w:i/>
          <w:iCs/>
          <w:lang w:val="hr-HR"/>
        </w:rPr>
        <w:t>IASB</w:t>
      </w:r>
      <w:r w:rsidR="001C3CBD" w:rsidRPr="00EF5D0A">
        <w:rPr>
          <w:lang w:val="hr-HR"/>
        </w:rPr>
        <w:t xml:space="preserve"> </w:t>
      </w:r>
      <w:r w:rsidR="00B42E4E">
        <w:rPr>
          <w:lang w:val="hr-HR"/>
        </w:rPr>
        <w:t xml:space="preserve">se, međutim, nije složio s mišljenjem da bi predložene izmjene i dopune dovele do takve situacije (vidjeti tačku </w:t>
      </w:r>
      <w:r>
        <w:rPr>
          <w:lang w:val="hr-HR"/>
        </w:rPr>
        <w:t>OZ</w:t>
      </w:r>
      <w:r w:rsidR="001C3CBD" w:rsidRPr="00EF5D0A">
        <w:rPr>
          <w:lang w:val="hr-HR"/>
        </w:rPr>
        <w:t xml:space="preserve">6.667). </w:t>
      </w:r>
      <w:r w:rsidR="00B42E4E">
        <w:rPr>
          <w:lang w:val="hr-HR"/>
        </w:rPr>
        <w:t xml:space="preserve">Oni smatraju da se zaštićena stavka definira tako </w:t>
      </w:r>
      <w:r w:rsidR="009F2692">
        <w:rPr>
          <w:lang w:val="hr-HR"/>
        </w:rPr>
        <w:t>da</w:t>
      </w:r>
      <w:r w:rsidR="00B42E4E">
        <w:rPr>
          <w:lang w:val="hr-HR"/>
        </w:rPr>
        <w:t xml:space="preserve"> odražava i količine koje se elektrana iz instrumenta zaštite očekuje da isporuči bilo na tržište ili drugoj ugovornoj strani i cijene o</w:t>
      </w:r>
      <w:r w:rsidR="009F2692">
        <w:rPr>
          <w:lang w:val="hr-HR"/>
        </w:rPr>
        <w:t>dređenih</w:t>
      </w:r>
      <w:r w:rsidR="00B42E4E">
        <w:rPr>
          <w:lang w:val="hr-HR"/>
        </w:rPr>
        <w:t xml:space="preserve"> predviđenih transakcija. </w:t>
      </w:r>
      <w:r w:rsidR="001C3CBD" w:rsidRPr="00B42E4E">
        <w:rPr>
          <w:i/>
          <w:iCs/>
          <w:lang w:val="hr-HR"/>
        </w:rPr>
        <w:t>IASB</w:t>
      </w:r>
      <w:r w:rsidR="001C3CBD" w:rsidRPr="00EF5D0A">
        <w:rPr>
          <w:lang w:val="hr-HR"/>
        </w:rPr>
        <w:t xml:space="preserve"> </w:t>
      </w:r>
      <w:r w:rsidR="00B42E4E">
        <w:rPr>
          <w:lang w:val="hr-HR"/>
        </w:rPr>
        <w:t>je odlučio da dodatno pojasni taj stav u izda</w:t>
      </w:r>
      <w:r w:rsidR="009F2692">
        <w:rPr>
          <w:lang w:val="hr-HR"/>
        </w:rPr>
        <w:t>t</w:t>
      </w:r>
      <w:r w:rsidR="00B42E4E">
        <w:rPr>
          <w:lang w:val="hr-HR"/>
        </w:rPr>
        <w:t xml:space="preserve">im izmjenama i dopunama. </w:t>
      </w:r>
    </w:p>
    <w:p w14:paraId="5FB41D43" w14:textId="77777777" w:rsidR="009F2692" w:rsidRPr="009F2692" w:rsidRDefault="009F2692" w:rsidP="009F2692">
      <w:pPr>
        <w:pStyle w:val="IASBSectionTitle4Ind"/>
        <w:spacing w:before="0" w:after="0"/>
        <w:rPr>
          <w:sz w:val="6"/>
          <w:szCs w:val="6"/>
          <w:lang w:val="hr-HR"/>
        </w:rPr>
      </w:pPr>
      <w:bookmarkStart w:id="49" w:name="unique_150"/>
    </w:p>
    <w:p w14:paraId="04CD64AA" w14:textId="72D13A3D" w:rsidR="00014FB0" w:rsidRPr="00EF5D0A" w:rsidRDefault="001C3CBD" w:rsidP="009F2692">
      <w:pPr>
        <w:pStyle w:val="IASBSectionTitle4Ind"/>
        <w:spacing w:beforeLines="60" w:before="144"/>
        <w:rPr>
          <w:lang w:val="hr-HR"/>
        </w:rPr>
      </w:pPr>
      <w:r w:rsidRPr="00EF5D0A">
        <w:rPr>
          <w:lang w:val="hr-HR"/>
        </w:rPr>
        <w:t>R</w:t>
      </w:r>
      <w:r w:rsidR="00B42E4E">
        <w:rPr>
          <w:lang w:val="hr-HR"/>
        </w:rPr>
        <w:t xml:space="preserve">eklasifikacijsko usklađivanje </w:t>
      </w:r>
      <w:bookmarkEnd w:id="49"/>
    </w:p>
    <w:p w14:paraId="569B7851" w14:textId="21E422B0" w:rsidR="00014FB0" w:rsidRPr="00EF5D0A" w:rsidRDefault="00A92D4A" w:rsidP="009F2692">
      <w:pPr>
        <w:pStyle w:val="IASBNormalnpara"/>
        <w:spacing w:beforeLines="60" w:before="144"/>
        <w:rPr>
          <w:lang w:val="hr-HR"/>
        </w:rPr>
      </w:pPr>
      <w:r>
        <w:rPr>
          <w:lang w:val="hr-HR"/>
        </w:rPr>
        <w:t>OZ</w:t>
      </w:r>
      <w:r w:rsidR="001C3CBD" w:rsidRPr="00EF5D0A">
        <w:rPr>
          <w:lang w:val="hr-HR"/>
        </w:rPr>
        <w:t>6.682</w:t>
      </w:r>
      <w:r w:rsidR="001C3CBD" w:rsidRPr="00EF5D0A">
        <w:rPr>
          <w:lang w:val="hr-HR"/>
        </w:rPr>
        <w:tab/>
      </w:r>
      <w:r w:rsidR="00B42E4E">
        <w:rPr>
          <w:lang w:val="hr-HR"/>
        </w:rPr>
        <w:t xml:space="preserve">Dionici su prepoznali i dodatne izazove kod izračunavanja reklasifikacijskog usklađivanja u uslovima kada </w:t>
      </w:r>
      <w:r w:rsidR="009F2692">
        <w:rPr>
          <w:lang w:val="hr-HR"/>
        </w:rPr>
        <w:t>se</w:t>
      </w:r>
      <w:r w:rsidR="00B42E4E">
        <w:rPr>
          <w:lang w:val="hr-HR"/>
        </w:rPr>
        <w:t xml:space="preserve"> </w:t>
      </w:r>
      <w:r w:rsidR="009F2692">
        <w:rPr>
          <w:lang w:val="hr-HR"/>
        </w:rPr>
        <w:t>zaštićena stavka odredi po vrijednosti</w:t>
      </w:r>
      <w:r w:rsidR="00B42E4E">
        <w:rPr>
          <w:lang w:val="hr-HR"/>
        </w:rPr>
        <w:t xml:space="preserve"> jednakoj promjenjivoj</w:t>
      </w:r>
      <w:r w:rsidR="009F2692">
        <w:rPr>
          <w:lang w:val="hr-HR"/>
        </w:rPr>
        <w:t xml:space="preserve"> vrijednosti</w:t>
      </w:r>
      <w:r w:rsidR="00B42E4E">
        <w:rPr>
          <w:lang w:val="hr-HR"/>
        </w:rPr>
        <w:t xml:space="preserve"> električne energije iz </w:t>
      </w:r>
      <w:r w:rsidR="009F2692">
        <w:rPr>
          <w:lang w:val="hr-HR"/>
        </w:rPr>
        <w:t xml:space="preserve">izvora zavisnih od </w:t>
      </w:r>
      <w:r w:rsidR="00B42E4E">
        <w:rPr>
          <w:lang w:val="hr-HR"/>
        </w:rPr>
        <w:t xml:space="preserve">prirodnih </w:t>
      </w:r>
      <w:r w:rsidR="009F2692">
        <w:rPr>
          <w:lang w:val="hr-HR"/>
        </w:rPr>
        <w:t>uslova</w:t>
      </w:r>
      <w:r w:rsidR="00B42E4E">
        <w:rPr>
          <w:lang w:val="hr-HR"/>
        </w:rPr>
        <w:t xml:space="preserve"> </w:t>
      </w:r>
      <w:r w:rsidR="001D16F7">
        <w:rPr>
          <w:lang w:val="hr-HR"/>
        </w:rPr>
        <w:t xml:space="preserve">koju elektrana iz ugovora </w:t>
      </w:r>
      <w:r w:rsidR="009F2692">
        <w:rPr>
          <w:lang w:val="hr-HR"/>
        </w:rPr>
        <w:t>o</w:t>
      </w:r>
      <w:r w:rsidR="001D16F7">
        <w:rPr>
          <w:lang w:val="hr-HR"/>
        </w:rPr>
        <w:t xml:space="preserve"> električn</w:t>
      </w:r>
      <w:r w:rsidR="009F2692">
        <w:rPr>
          <w:lang w:val="hr-HR"/>
        </w:rPr>
        <w:t>oj</w:t>
      </w:r>
      <w:r w:rsidR="001D16F7">
        <w:rPr>
          <w:lang w:val="hr-HR"/>
        </w:rPr>
        <w:t xml:space="preserve"> energij</w:t>
      </w:r>
      <w:r w:rsidR="009F2692">
        <w:rPr>
          <w:lang w:val="hr-HR"/>
        </w:rPr>
        <w:t>i</w:t>
      </w:r>
      <w:r w:rsidR="001D16F7">
        <w:rPr>
          <w:lang w:val="hr-HR"/>
        </w:rPr>
        <w:t xml:space="preserve"> iz </w:t>
      </w:r>
      <w:r w:rsidR="009F2692">
        <w:rPr>
          <w:lang w:val="hr-HR"/>
        </w:rPr>
        <w:t xml:space="preserve">izvora zavisnih od </w:t>
      </w:r>
      <w:r w:rsidR="001D16F7">
        <w:rPr>
          <w:lang w:val="hr-HR"/>
        </w:rPr>
        <w:t>prirodnih</w:t>
      </w:r>
      <w:r w:rsidR="009F2692">
        <w:rPr>
          <w:lang w:val="hr-HR"/>
        </w:rPr>
        <w:t xml:space="preserve"> uslova </w:t>
      </w:r>
      <w:r w:rsidR="001D16F7">
        <w:rPr>
          <w:lang w:val="hr-HR"/>
        </w:rPr>
        <w:t>isporuči na promptno tržište a odnos zaštite potom raskine. Subjekt odnos zaštite može raskinuti iz više razloga, ali najznačajnija dva od njih su to da</w:t>
      </w:r>
      <w:r w:rsidR="001C3CBD" w:rsidRPr="00EF5D0A">
        <w:rPr>
          <w:lang w:val="hr-HR"/>
        </w:rPr>
        <w:t>:</w:t>
      </w:r>
    </w:p>
    <w:p w14:paraId="25639BDC" w14:textId="6F2C251C" w:rsidR="00014FB0" w:rsidRPr="00EF5D0A" w:rsidRDefault="001C3CBD">
      <w:pPr>
        <w:pStyle w:val="IASBNormalnparaL1"/>
        <w:rPr>
          <w:lang w:val="hr-HR"/>
        </w:rPr>
      </w:pPr>
      <w:r w:rsidRPr="00EF5D0A">
        <w:rPr>
          <w:lang w:val="hr-HR"/>
        </w:rPr>
        <w:t>(a)</w:t>
      </w:r>
      <w:r w:rsidRPr="00EF5D0A">
        <w:rPr>
          <w:lang w:val="hr-HR"/>
        </w:rPr>
        <w:tab/>
      </w:r>
      <w:r w:rsidR="001D16F7">
        <w:rPr>
          <w:lang w:val="hr-HR"/>
        </w:rPr>
        <w:t xml:space="preserve">nema dovoljno vrlo </w:t>
      </w:r>
      <w:r w:rsidR="004E2759">
        <w:rPr>
          <w:lang w:val="hr-HR"/>
        </w:rPr>
        <w:t>vjerovatn</w:t>
      </w:r>
      <w:r w:rsidR="001D16F7">
        <w:rPr>
          <w:lang w:val="hr-HR"/>
        </w:rPr>
        <w:t xml:space="preserve">ih predviđenih transakcija, bez obzira što se </w:t>
      </w:r>
      <w:r w:rsidR="009F2692">
        <w:rPr>
          <w:lang w:val="hr-HR"/>
        </w:rPr>
        <w:t xml:space="preserve">i dalje </w:t>
      </w:r>
      <w:r w:rsidR="001D16F7">
        <w:rPr>
          <w:lang w:val="hr-HR"/>
        </w:rPr>
        <w:t>očekuje da nasta</w:t>
      </w:r>
      <w:r w:rsidR="009F2692">
        <w:rPr>
          <w:lang w:val="hr-HR"/>
        </w:rPr>
        <w:t>nu</w:t>
      </w:r>
      <w:r w:rsidR="001D16F7">
        <w:rPr>
          <w:lang w:val="hr-HR"/>
        </w:rPr>
        <w:t xml:space="preserve"> neki od zaštićenih novčanih tokova; i </w:t>
      </w:r>
    </w:p>
    <w:p w14:paraId="795F17FE" w14:textId="690D5F05" w:rsidR="00014FB0" w:rsidRPr="00EF5D0A" w:rsidRDefault="001C3CBD">
      <w:pPr>
        <w:pStyle w:val="IASBNormalnparaL1"/>
        <w:rPr>
          <w:lang w:val="hr-HR"/>
        </w:rPr>
      </w:pPr>
      <w:r w:rsidRPr="00EF5D0A">
        <w:rPr>
          <w:lang w:val="hr-HR"/>
        </w:rPr>
        <w:lastRenderedPageBreak/>
        <w:t>(b)</w:t>
      </w:r>
      <w:r w:rsidRPr="00EF5D0A">
        <w:rPr>
          <w:lang w:val="hr-HR"/>
        </w:rPr>
        <w:tab/>
      </w:r>
      <w:r w:rsidR="001D16F7">
        <w:rPr>
          <w:lang w:val="hr-HR"/>
        </w:rPr>
        <w:t xml:space="preserve">zatvorio je i prestao priznavati instrument zaštite. </w:t>
      </w:r>
    </w:p>
    <w:p w14:paraId="502859A4" w14:textId="27089B87" w:rsidR="00014FB0" w:rsidRPr="00EF5D0A" w:rsidRDefault="00A92D4A">
      <w:pPr>
        <w:pStyle w:val="IASBNormalnpara"/>
        <w:rPr>
          <w:lang w:val="hr-HR"/>
        </w:rPr>
      </w:pPr>
      <w:r>
        <w:rPr>
          <w:lang w:val="hr-HR"/>
        </w:rPr>
        <w:t>OZ</w:t>
      </w:r>
      <w:r w:rsidR="001C3CBD" w:rsidRPr="00EF5D0A">
        <w:rPr>
          <w:lang w:val="hr-HR"/>
        </w:rPr>
        <w:t>6.683</w:t>
      </w:r>
      <w:r w:rsidR="001C3CBD" w:rsidRPr="00EF5D0A">
        <w:rPr>
          <w:lang w:val="hr-HR"/>
        </w:rPr>
        <w:tab/>
      </w:r>
      <w:r w:rsidR="001C3CBD" w:rsidRPr="001D16F7">
        <w:rPr>
          <w:i/>
          <w:iCs/>
          <w:lang w:val="hr-HR"/>
        </w:rPr>
        <w:t>IASB</w:t>
      </w:r>
      <w:r w:rsidR="001C3CBD" w:rsidRPr="00EF5D0A">
        <w:rPr>
          <w:lang w:val="hr-HR"/>
        </w:rPr>
        <w:t xml:space="preserve"> </w:t>
      </w:r>
      <w:r w:rsidR="001D16F7">
        <w:rPr>
          <w:lang w:val="hr-HR"/>
        </w:rPr>
        <w:t>je zaključio da MSFI 9 već daje uputstva za postupanje u takvoj situaciji. Od subjekta se očekuje da tačku</w:t>
      </w:r>
      <w:r w:rsidR="001C3CBD" w:rsidRPr="00EF5D0A">
        <w:rPr>
          <w:lang w:val="hr-HR"/>
        </w:rPr>
        <w:t xml:space="preserve"> 6.5.11 </w:t>
      </w:r>
      <w:r w:rsidR="001D16F7">
        <w:rPr>
          <w:lang w:val="hr-HR"/>
        </w:rPr>
        <w:t>MSFI-ja</w:t>
      </w:r>
      <w:r w:rsidR="001C3CBD" w:rsidRPr="00EF5D0A">
        <w:rPr>
          <w:lang w:val="hr-HR"/>
        </w:rPr>
        <w:t xml:space="preserve"> 9 </w:t>
      </w:r>
      <w:r w:rsidR="001D16F7">
        <w:rPr>
          <w:lang w:val="hr-HR"/>
        </w:rPr>
        <w:t xml:space="preserve">primjenjuje dosljedno na sve takve situacije u svojim odnosima zaštite. </w:t>
      </w:r>
    </w:p>
    <w:p w14:paraId="3703D7D9" w14:textId="036F9DB1" w:rsidR="00014FB0" w:rsidRPr="00EF5D0A" w:rsidRDefault="005E1E08">
      <w:pPr>
        <w:pStyle w:val="IASBSectionTitle1NonInd"/>
        <w:rPr>
          <w:lang w:val="hr-HR"/>
        </w:rPr>
      </w:pPr>
      <w:bookmarkStart w:id="50" w:name="unique_37"/>
      <w:r>
        <w:rPr>
          <w:lang w:val="hr-HR"/>
        </w:rPr>
        <w:t xml:space="preserve">Datum stupanja na snagu i </w:t>
      </w:r>
      <w:r w:rsidR="001D16F7">
        <w:rPr>
          <w:lang w:val="hr-HR"/>
        </w:rPr>
        <w:t>prijelazn</w:t>
      </w:r>
      <w:r w:rsidR="006B6A5A">
        <w:rPr>
          <w:lang w:val="hr-HR"/>
        </w:rPr>
        <w:t xml:space="preserve">e odredbe </w:t>
      </w:r>
      <w:r w:rsidR="001C3CBD" w:rsidRPr="00EF5D0A">
        <w:rPr>
          <w:lang w:val="hr-HR"/>
        </w:rPr>
        <w:t>(</w:t>
      </w:r>
      <w:r>
        <w:rPr>
          <w:lang w:val="hr-HR"/>
        </w:rPr>
        <w:t>Poglavlje</w:t>
      </w:r>
      <w:r w:rsidR="001C3CBD" w:rsidRPr="00EF5D0A">
        <w:rPr>
          <w:lang w:val="hr-HR"/>
        </w:rPr>
        <w:t xml:space="preserve"> 7)</w:t>
      </w:r>
      <w:bookmarkEnd w:id="50"/>
    </w:p>
    <w:p w14:paraId="297C6F8F" w14:textId="77777777" w:rsidR="00014FB0" w:rsidRPr="00EF5D0A" w:rsidRDefault="001C3CBD">
      <w:pPr>
        <w:pStyle w:val="IASBNormalnpara"/>
        <w:rPr>
          <w:lang w:val="hr-HR"/>
        </w:rPr>
      </w:pPr>
      <w:r w:rsidRPr="00EF5D0A">
        <w:rPr>
          <w:lang w:val="hr-HR"/>
        </w:rPr>
        <w:tab/>
        <w:t>...</w:t>
      </w:r>
    </w:p>
    <w:p w14:paraId="25D07E9E" w14:textId="4B3F1290" w:rsidR="00014FB0" w:rsidRPr="00EF5D0A" w:rsidRDefault="00DF65E9">
      <w:pPr>
        <w:pStyle w:val="IASBSectionTitle2Ind"/>
        <w:rPr>
          <w:lang w:val="hr-HR"/>
        </w:rPr>
      </w:pPr>
      <w:bookmarkStart w:id="51" w:name="unique_38"/>
      <w:r>
        <w:rPr>
          <w:lang w:val="hr-HR"/>
        </w:rPr>
        <w:t xml:space="preserve">Ugovori </w:t>
      </w:r>
      <w:r w:rsidR="00BB44BD">
        <w:rPr>
          <w:lang w:val="hr-HR"/>
        </w:rPr>
        <w:t xml:space="preserve">o </w:t>
      </w:r>
      <w:r>
        <w:rPr>
          <w:lang w:val="hr-HR"/>
        </w:rPr>
        <w:t>električn</w:t>
      </w:r>
      <w:r w:rsidR="00BB44BD">
        <w:rPr>
          <w:lang w:val="hr-HR"/>
        </w:rPr>
        <w:t>oj</w:t>
      </w:r>
      <w:r>
        <w:rPr>
          <w:lang w:val="hr-HR"/>
        </w:rPr>
        <w:t xml:space="preserve"> energij</w:t>
      </w:r>
      <w:r w:rsidR="00BB44BD">
        <w:rPr>
          <w:lang w:val="hr-HR"/>
        </w:rPr>
        <w:t>i</w:t>
      </w:r>
      <w:r>
        <w:rPr>
          <w:lang w:val="hr-HR"/>
        </w:rPr>
        <w:t xml:space="preserve"> iz izvora zavisnih od prirodnih </w:t>
      </w:r>
      <w:r w:rsidR="00BB44BD">
        <w:rPr>
          <w:lang w:val="hr-HR"/>
        </w:rPr>
        <w:t xml:space="preserve">uslova </w:t>
      </w:r>
      <w:r w:rsidR="001C3CBD" w:rsidRPr="00EF5D0A">
        <w:rPr>
          <w:lang w:val="hr-HR"/>
        </w:rPr>
        <w:t>(</w:t>
      </w:r>
      <w:r w:rsidR="00135517">
        <w:rPr>
          <w:lang w:val="hr-HR"/>
        </w:rPr>
        <w:t xml:space="preserve">tačke </w:t>
      </w:r>
      <w:r w:rsidR="001C3CBD" w:rsidRPr="00EF5D0A">
        <w:rPr>
          <w:lang w:val="hr-HR"/>
        </w:rPr>
        <w:t>7.2.50</w:t>
      </w:r>
      <w:r w:rsidR="00135517">
        <w:rPr>
          <w:lang w:val="hr-HR"/>
        </w:rPr>
        <w:t xml:space="preserve">, 7.2.51 i </w:t>
      </w:r>
      <w:r w:rsidR="001C3CBD" w:rsidRPr="00EF5D0A">
        <w:rPr>
          <w:lang w:val="hr-HR"/>
        </w:rPr>
        <w:t>7.2.52)</w:t>
      </w:r>
      <w:bookmarkEnd w:id="51"/>
    </w:p>
    <w:p w14:paraId="4A9639AE" w14:textId="065D8D61" w:rsidR="00014FB0" w:rsidRPr="00EF5D0A" w:rsidRDefault="00A92D4A">
      <w:pPr>
        <w:pStyle w:val="IASBNormalnpara"/>
        <w:rPr>
          <w:lang w:val="hr-HR"/>
        </w:rPr>
      </w:pPr>
      <w:r>
        <w:rPr>
          <w:lang w:val="hr-HR"/>
        </w:rPr>
        <w:t>OZ</w:t>
      </w:r>
      <w:r w:rsidR="001C3CBD" w:rsidRPr="00EF5D0A">
        <w:rPr>
          <w:lang w:val="hr-HR"/>
        </w:rPr>
        <w:t>7.104</w:t>
      </w:r>
      <w:r w:rsidR="001C3CBD" w:rsidRPr="00EF5D0A">
        <w:rPr>
          <w:lang w:val="hr-HR"/>
        </w:rPr>
        <w:tab/>
      </w:r>
      <w:r w:rsidR="001C3CBD" w:rsidRPr="001D16F7">
        <w:rPr>
          <w:i/>
          <w:iCs/>
          <w:lang w:val="hr-HR"/>
        </w:rPr>
        <w:t>IASB</w:t>
      </w:r>
      <w:r w:rsidR="001C3CBD" w:rsidRPr="00EF5D0A">
        <w:rPr>
          <w:lang w:val="hr-HR"/>
        </w:rPr>
        <w:t xml:space="preserve"> </w:t>
      </w:r>
      <w:r w:rsidR="001D16F7">
        <w:rPr>
          <w:lang w:val="hr-HR"/>
        </w:rPr>
        <w:t xml:space="preserve">očekuje da bi se izmjene i dopune izuzeća za vlastite potrebe iz dokumenta </w:t>
      </w:r>
      <w:r w:rsidR="001D16F7">
        <w:rPr>
          <w:i/>
          <w:lang w:val="hr-HR"/>
        </w:rPr>
        <w:t xml:space="preserve">Ugovori </w:t>
      </w:r>
      <w:r w:rsidR="006B6A5A">
        <w:rPr>
          <w:i/>
          <w:lang w:val="hr-HR"/>
        </w:rPr>
        <w:t>o</w:t>
      </w:r>
      <w:r w:rsidR="001D16F7">
        <w:rPr>
          <w:i/>
          <w:lang w:val="hr-HR"/>
        </w:rPr>
        <w:t xml:space="preserve"> električn</w:t>
      </w:r>
      <w:r w:rsidR="006B6A5A">
        <w:rPr>
          <w:i/>
          <w:lang w:val="hr-HR"/>
        </w:rPr>
        <w:t>oj</w:t>
      </w:r>
      <w:r w:rsidR="001D16F7">
        <w:rPr>
          <w:i/>
          <w:lang w:val="hr-HR"/>
        </w:rPr>
        <w:t xml:space="preserve"> energij</w:t>
      </w:r>
      <w:r w:rsidR="006B6A5A">
        <w:rPr>
          <w:i/>
          <w:lang w:val="hr-HR"/>
        </w:rPr>
        <w:t>i</w:t>
      </w:r>
      <w:r w:rsidR="001D16F7">
        <w:rPr>
          <w:i/>
          <w:lang w:val="hr-HR"/>
        </w:rPr>
        <w:t xml:space="preserve"> iz </w:t>
      </w:r>
      <w:r w:rsidR="006B6A5A">
        <w:rPr>
          <w:i/>
          <w:lang w:val="hr-HR"/>
        </w:rPr>
        <w:t xml:space="preserve">izvora zavisnih od </w:t>
      </w:r>
      <w:r w:rsidR="001D16F7">
        <w:rPr>
          <w:i/>
          <w:lang w:val="hr-HR"/>
        </w:rPr>
        <w:t xml:space="preserve">prirodnih </w:t>
      </w:r>
      <w:r w:rsidR="006B6A5A">
        <w:rPr>
          <w:i/>
          <w:lang w:val="hr-HR"/>
        </w:rPr>
        <w:t>uslova</w:t>
      </w:r>
      <w:r w:rsidR="001C3CBD" w:rsidRPr="00EF5D0A">
        <w:rPr>
          <w:lang w:val="hr-HR"/>
        </w:rPr>
        <w:t xml:space="preserve"> </w:t>
      </w:r>
      <w:r w:rsidR="001D16F7">
        <w:rPr>
          <w:lang w:val="hr-HR"/>
        </w:rPr>
        <w:t>odrazile na subjekte koji svoje ugovore o kupovini i primanju isporuk</w:t>
      </w:r>
      <w:r w:rsidR="006B6A5A">
        <w:rPr>
          <w:lang w:val="hr-HR"/>
        </w:rPr>
        <w:t>a</w:t>
      </w:r>
      <w:r w:rsidR="001D16F7">
        <w:rPr>
          <w:lang w:val="hr-HR"/>
        </w:rPr>
        <w:t xml:space="preserve"> električne energije iz </w:t>
      </w:r>
      <w:r w:rsidR="006B6A5A">
        <w:rPr>
          <w:lang w:val="hr-HR"/>
        </w:rPr>
        <w:t xml:space="preserve">izvora zavisnih od </w:t>
      </w:r>
      <w:r w:rsidR="001D16F7">
        <w:rPr>
          <w:lang w:val="hr-HR"/>
        </w:rPr>
        <w:t xml:space="preserve">prirodnih </w:t>
      </w:r>
      <w:r w:rsidR="006B6A5A">
        <w:rPr>
          <w:lang w:val="hr-HR"/>
        </w:rPr>
        <w:t>uslova</w:t>
      </w:r>
      <w:r w:rsidR="001D16F7">
        <w:rPr>
          <w:lang w:val="hr-HR"/>
        </w:rPr>
        <w:t xml:space="preserve"> obračunavaju kao derivate. Prema izmjenama i dopunama, takvi subjekti bi predmetne ugovore mogli obračunavati kao izvršne i, iz tog razloga, </w:t>
      </w:r>
      <w:r w:rsidR="001D16F7" w:rsidRPr="001D16F7">
        <w:rPr>
          <w:i/>
          <w:iCs/>
          <w:lang w:val="hr-HR"/>
        </w:rPr>
        <w:t>IASB</w:t>
      </w:r>
      <w:r w:rsidR="001D16F7">
        <w:rPr>
          <w:lang w:val="hr-HR"/>
        </w:rPr>
        <w:t xml:space="preserve"> se odlučio da im nal</w:t>
      </w:r>
      <w:r w:rsidR="006B6A5A">
        <w:rPr>
          <w:lang w:val="hr-HR"/>
        </w:rPr>
        <w:t>o</w:t>
      </w:r>
      <w:r w:rsidR="001D16F7">
        <w:rPr>
          <w:lang w:val="hr-HR"/>
        </w:rPr>
        <w:t>ži da izmjene i dopune na izuzeće za vlastite potrebe primjenjuju retroaktivno u skladu sa MRS-om</w:t>
      </w:r>
      <w:r w:rsidR="001C3CBD" w:rsidRPr="00EF5D0A">
        <w:rPr>
          <w:lang w:val="hr-HR"/>
        </w:rPr>
        <w:t xml:space="preserve"> 8 </w:t>
      </w:r>
      <w:r w:rsidR="001D16F7">
        <w:rPr>
          <w:i/>
          <w:lang w:val="hr-HR"/>
        </w:rPr>
        <w:t>Osnove za izradu finansijskih izvještaja</w:t>
      </w:r>
      <w:r w:rsidR="001C3CBD" w:rsidRPr="00EF5D0A">
        <w:rPr>
          <w:lang w:val="hr-HR"/>
        </w:rPr>
        <w:t xml:space="preserve">. </w:t>
      </w:r>
      <w:r w:rsidR="001D16F7">
        <w:rPr>
          <w:lang w:val="hr-HR"/>
        </w:rPr>
        <w:t xml:space="preserve">Oni su, međutim, odlučili i to da od subjekata ne traže da prepravljaju uporedive informacije već da im dopuste da preprave ranije periode kada je to moguće bez retroaktivnog sagledavanja. Takav pristup je u skladu sa prijelaznim zahtjevima MSFI-ja 9 i MSFI-ja 7. </w:t>
      </w:r>
      <w:r w:rsidR="001C3CBD" w:rsidRPr="001D16F7">
        <w:rPr>
          <w:i/>
          <w:iCs/>
          <w:lang w:val="hr-HR"/>
        </w:rPr>
        <w:t>IASB</w:t>
      </w:r>
      <w:r w:rsidR="001C3CBD" w:rsidRPr="00EF5D0A">
        <w:rPr>
          <w:lang w:val="hr-HR"/>
        </w:rPr>
        <w:t xml:space="preserve"> </w:t>
      </w:r>
      <w:r w:rsidR="001D16F7">
        <w:rPr>
          <w:lang w:val="hr-HR"/>
        </w:rPr>
        <w:t xml:space="preserve">je izvorno </w:t>
      </w:r>
      <w:r w:rsidR="00F920DE">
        <w:rPr>
          <w:lang w:val="hr-HR"/>
        </w:rPr>
        <w:t xml:space="preserve">bio </w:t>
      </w:r>
      <w:r w:rsidR="001D16F7">
        <w:rPr>
          <w:lang w:val="hr-HR"/>
        </w:rPr>
        <w:t xml:space="preserve">predložio da se </w:t>
      </w:r>
      <w:r w:rsidR="00F920DE">
        <w:rPr>
          <w:lang w:val="hr-HR"/>
        </w:rPr>
        <w:t xml:space="preserve">dopusti da se izmjene i dopune počnu primjenjivati odmah po njihovom izdavanju, ali je taj pristup doveden u pitanje u komentarima na prednacrt, u kojima </w:t>
      </w:r>
      <w:r w:rsidR="00064102">
        <w:rPr>
          <w:lang w:val="hr-HR"/>
        </w:rPr>
        <w:t xml:space="preserve">je </w:t>
      </w:r>
      <w:r w:rsidR="00F920DE">
        <w:rPr>
          <w:lang w:val="hr-HR"/>
        </w:rPr>
        <w:t>ukaz</w:t>
      </w:r>
      <w:r w:rsidR="006B6A5A">
        <w:rPr>
          <w:lang w:val="hr-HR"/>
        </w:rPr>
        <w:t>a</w:t>
      </w:r>
      <w:r w:rsidR="00064102">
        <w:rPr>
          <w:lang w:val="hr-HR"/>
        </w:rPr>
        <w:t>no</w:t>
      </w:r>
      <w:r w:rsidR="00F920DE">
        <w:rPr>
          <w:lang w:val="hr-HR"/>
        </w:rPr>
        <w:t xml:space="preserve"> </w:t>
      </w:r>
      <w:r w:rsidR="00064102">
        <w:rPr>
          <w:lang w:val="hr-HR"/>
        </w:rPr>
        <w:t xml:space="preserve">da bi se time autori koji ne mogu sklapati ugovore o fizičkoj isporuci izložili operativno složenim radnjama i stavili u nepovoljan položaj. </w:t>
      </w:r>
      <w:r w:rsidR="00F920DE">
        <w:rPr>
          <w:lang w:val="hr-HR"/>
        </w:rPr>
        <w:t xml:space="preserve">Iz tih razloga, </w:t>
      </w:r>
      <w:r w:rsidR="001C3CBD" w:rsidRPr="00F920DE">
        <w:rPr>
          <w:i/>
          <w:iCs/>
          <w:lang w:val="hr-HR"/>
        </w:rPr>
        <w:t>IASB</w:t>
      </w:r>
      <w:r w:rsidR="001C3CBD" w:rsidRPr="00EF5D0A">
        <w:rPr>
          <w:lang w:val="hr-HR"/>
        </w:rPr>
        <w:t xml:space="preserve"> </w:t>
      </w:r>
      <w:r w:rsidR="00F920DE">
        <w:rPr>
          <w:lang w:val="hr-HR"/>
        </w:rPr>
        <w:t xml:space="preserve">se odlučio ograničiti ranu primjenu na izvještajne periode koji počinju nakon izdavanja izmjena i dopuna. </w:t>
      </w:r>
    </w:p>
    <w:p w14:paraId="002FB097" w14:textId="1F1FA02B" w:rsidR="00014FB0" w:rsidRPr="00EF5D0A" w:rsidRDefault="00A92D4A">
      <w:pPr>
        <w:pStyle w:val="IASBNormalnpara"/>
        <w:rPr>
          <w:lang w:val="hr-HR"/>
        </w:rPr>
      </w:pPr>
      <w:r>
        <w:rPr>
          <w:lang w:val="hr-HR"/>
        </w:rPr>
        <w:t>OZ</w:t>
      </w:r>
      <w:r w:rsidR="001C3CBD" w:rsidRPr="00EF5D0A">
        <w:rPr>
          <w:lang w:val="hr-HR"/>
        </w:rPr>
        <w:t>7.105</w:t>
      </w:r>
      <w:r w:rsidR="001C3CBD" w:rsidRPr="00EF5D0A">
        <w:rPr>
          <w:lang w:val="hr-HR"/>
        </w:rPr>
        <w:tab/>
      </w:r>
      <w:r w:rsidR="001C3CBD" w:rsidRPr="00F920DE">
        <w:rPr>
          <w:i/>
          <w:iCs/>
          <w:lang w:val="hr-HR"/>
        </w:rPr>
        <w:t>IASB</w:t>
      </w:r>
      <w:r w:rsidR="001C3CBD" w:rsidRPr="00EF5D0A">
        <w:rPr>
          <w:lang w:val="hr-HR"/>
        </w:rPr>
        <w:t xml:space="preserve"> </w:t>
      </w:r>
      <w:r w:rsidR="00F920DE">
        <w:rPr>
          <w:lang w:val="hr-HR"/>
        </w:rPr>
        <w:t>dopušta subjektima i to da, na datum prve primjene, nepovratno o</w:t>
      </w:r>
      <w:r w:rsidR="00064102">
        <w:rPr>
          <w:lang w:val="hr-HR"/>
        </w:rPr>
        <w:t>drede</w:t>
      </w:r>
      <w:r w:rsidR="00F920DE">
        <w:rPr>
          <w:lang w:val="hr-HR"/>
        </w:rPr>
        <w:t xml:space="preserve"> </w:t>
      </w:r>
      <w:r w:rsidR="00D06582">
        <w:rPr>
          <w:lang w:val="hr-HR"/>
        </w:rPr>
        <w:t xml:space="preserve">kao po fer vrijednosti kroz bilans uspjeha u skladu s tačkom </w:t>
      </w:r>
      <w:r w:rsidR="001C3CBD" w:rsidRPr="00EF5D0A">
        <w:rPr>
          <w:lang w:val="hr-HR"/>
        </w:rPr>
        <w:t xml:space="preserve">2.5 </w:t>
      </w:r>
      <w:r w:rsidR="00D06582">
        <w:rPr>
          <w:lang w:val="hr-HR"/>
        </w:rPr>
        <w:t xml:space="preserve">svaki ugovor koji nije uvršten u djelokrug ovog standarda, ali koji odgovara opisu iz tačke </w:t>
      </w:r>
      <w:r w:rsidR="001C3CBD" w:rsidRPr="00EF5D0A">
        <w:rPr>
          <w:lang w:val="hr-HR"/>
        </w:rPr>
        <w:t>2.3</w:t>
      </w:r>
      <w:r w:rsidR="00064102">
        <w:rPr>
          <w:lang w:val="hr-HR"/>
        </w:rPr>
        <w:t>.</w:t>
      </w:r>
      <w:r w:rsidR="001C3CBD" w:rsidRPr="00EF5D0A">
        <w:rPr>
          <w:lang w:val="hr-HR"/>
        </w:rPr>
        <w:t xml:space="preserve">A. </w:t>
      </w:r>
      <w:r w:rsidR="00D06582">
        <w:rPr>
          <w:lang w:val="hr-HR"/>
        </w:rPr>
        <w:t xml:space="preserve">Takav pristup je u skladu s drugim prijelaznim zahtjevima MSFI-ja </w:t>
      </w:r>
      <w:r w:rsidR="001C3CBD" w:rsidRPr="00EF5D0A">
        <w:rPr>
          <w:lang w:val="hr-HR"/>
        </w:rPr>
        <w:t>9.</w:t>
      </w:r>
    </w:p>
    <w:p w14:paraId="4096454E" w14:textId="76567F1E" w:rsidR="00014FB0" w:rsidRPr="00EF5D0A" w:rsidRDefault="00A92D4A">
      <w:pPr>
        <w:pStyle w:val="IASBNormalnpara"/>
        <w:rPr>
          <w:lang w:val="hr-HR"/>
        </w:rPr>
      </w:pPr>
      <w:r>
        <w:rPr>
          <w:lang w:val="hr-HR"/>
        </w:rPr>
        <w:t>OZ</w:t>
      </w:r>
      <w:r w:rsidR="001C3CBD" w:rsidRPr="00EF5D0A">
        <w:rPr>
          <w:lang w:val="hr-HR"/>
        </w:rPr>
        <w:t>7.106</w:t>
      </w:r>
      <w:r w:rsidR="001C3CBD" w:rsidRPr="00EF5D0A">
        <w:rPr>
          <w:lang w:val="hr-HR"/>
        </w:rPr>
        <w:tab/>
      </w:r>
      <w:r w:rsidR="00D06582">
        <w:rPr>
          <w:lang w:val="hr-HR"/>
        </w:rPr>
        <w:t>Tačka</w:t>
      </w:r>
      <w:r w:rsidR="001C3CBD" w:rsidRPr="00EF5D0A">
        <w:rPr>
          <w:lang w:val="hr-HR"/>
        </w:rPr>
        <w:t xml:space="preserve"> 7.2.53 </w:t>
      </w:r>
      <w:r w:rsidR="00563365">
        <w:rPr>
          <w:lang w:val="hr-HR"/>
        </w:rPr>
        <w:t xml:space="preserve">nalaže subjektima da izmjene i dopune iz dokumenta </w:t>
      </w:r>
      <w:r w:rsidR="00DF65E9">
        <w:rPr>
          <w:i/>
          <w:lang w:val="hr-HR"/>
        </w:rPr>
        <w:t xml:space="preserve">Ugovori </w:t>
      </w:r>
      <w:r w:rsidR="00064102">
        <w:rPr>
          <w:i/>
          <w:lang w:val="hr-HR"/>
        </w:rPr>
        <w:t>o</w:t>
      </w:r>
      <w:r w:rsidR="00DF65E9">
        <w:rPr>
          <w:i/>
          <w:lang w:val="hr-HR"/>
        </w:rPr>
        <w:t xml:space="preserve"> električn</w:t>
      </w:r>
      <w:r w:rsidR="00064102">
        <w:rPr>
          <w:i/>
          <w:lang w:val="hr-HR"/>
        </w:rPr>
        <w:t>oj</w:t>
      </w:r>
      <w:r w:rsidR="00DF65E9">
        <w:rPr>
          <w:i/>
          <w:lang w:val="hr-HR"/>
        </w:rPr>
        <w:t xml:space="preserve"> energij</w:t>
      </w:r>
      <w:r w:rsidR="00064102">
        <w:rPr>
          <w:i/>
          <w:lang w:val="hr-HR"/>
        </w:rPr>
        <w:t>i</w:t>
      </w:r>
      <w:r w:rsidR="00DF65E9">
        <w:rPr>
          <w:i/>
          <w:lang w:val="hr-HR"/>
        </w:rPr>
        <w:t xml:space="preserve"> iz izvora zavisnih od prirodnih uslova</w:t>
      </w:r>
      <w:r w:rsidR="00563365">
        <w:rPr>
          <w:i/>
          <w:lang w:val="hr-HR"/>
        </w:rPr>
        <w:t xml:space="preserve"> </w:t>
      </w:r>
      <w:r w:rsidR="00563365">
        <w:rPr>
          <w:lang w:val="hr-HR"/>
        </w:rPr>
        <w:t>prospektivno primjenjuju na zahtjeve računovodstva zaštite od rizika, što je ujedno u skladu sa prijelaznim zahtjevima u odnosu na druge zahtjeve računovodstva zaštite iz MSFI-ja 9</w:t>
      </w:r>
      <w:r w:rsidR="001C3CBD" w:rsidRPr="00EF5D0A">
        <w:rPr>
          <w:lang w:val="hr-HR"/>
        </w:rPr>
        <w:t>.</w:t>
      </w:r>
    </w:p>
    <w:p w14:paraId="5FEDA0DF" w14:textId="5C61C8A8" w:rsidR="00014FB0" w:rsidRPr="00EF5D0A" w:rsidRDefault="00A92D4A">
      <w:pPr>
        <w:pStyle w:val="IASBNormalnpara"/>
        <w:rPr>
          <w:lang w:val="hr-HR"/>
        </w:rPr>
      </w:pPr>
      <w:r>
        <w:rPr>
          <w:lang w:val="hr-HR"/>
        </w:rPr>
        <w:t>OZ</w:t>
      </w:r>
      <w:r w:rsidR="001C3CBD" w:rsidRPr="00EF5D0A">
        <w:rPr>
          <w:lang w:val="hr-HR"/>
        </w:rPr>
        <w:t>7.107</w:t>
      </w:r>
      <w:r w:rsidR="001C3CBD" w:rsidRPr="00EF5D0A">
        <w:rPr>
          <w:lang w:val="hr-HR"/>
        </w:rPr>
        <w:tab/>
      </w:r>
      <w:r w:rsidR="00563365">
        <w:rPr>
          <w:lang w:val="hr-HR"/>
        </w:rPr>
        <w:t>U komentarima na prednacrt, dionici su naveli da bi prospektivna primjena dovela do toga da se pojedini odnosi zaštite o</w:t>
      </w:r>
      <w:r w:rsidR="00225A87">
        <w:rPr>
          <w:lang w:val="hr-HR"/>
        </w:rPr>
        <w:t>drede</w:t>
      </w:r>
      <w:r w:rsidR="00563365">
        <w:rPr>
          <w:lang w:val="hr-HR"/>
        </w:rPr>
        <w:t xml:space="preserve"> nakon sklapanja ugovora </w:t>
      </w:r>
      <w:r w:rsidR="00225A87">
        <w:rPr>
          <w:lang w:val="hr-HR"/>
        </w:rPr>
        <w:t xml:space="preserve">o </w:t>
      </w:r>
      <w:r w:rsidR="00563365">
        <w:rPr>
          <w:lang w:val="hr-HR"/>
        </w:rPr>
        <w:t>električn</w:t>
      </w:r>
      <w:r w:rsidR="00225A87">
        <w:rPr>
          <w:lang w:val="hr-HR"/>
        </w:rPr>
        <w:t>oj</w:t>
      </w:r>
      <w:r w:rsidR="00563365">
        <w:rPr>
          <w:lang w:val="hr-HR"/>
        </w:rPr>
        <w:t xml:space="preserve"> energij</w:t>
      </w:r>
      <w:r w:rsidR="00225A87">
        <w:rPr>
          <w:lang w:val="hr-HR"/>
        </w:rPr>
        <w:t>i</w:t>
      </w:r>
      <w:r w:rsidR="00563365">
        <w:rPr>
          <w:lang w:val="hr-HR"/>
        </w:rPr>
        <w:t xml:space="preserve"> iz </w:t>
      </w:r>
      <w:r w:rsidR="00225A87">
        <w:rPr>
          <w:lang w:val="hr-HR"/>
        </w:rPr>
        <w:t xml:space="preserve">izvora zavisnih od </w:t>
      </w:r>
      <w:r w:rsidR="00563365">
        <w:rPr>
          <w:lang w:val="hr-HR"/>
        </w:rPr>
        <w:t xml:space="preserve">prirodnih </w:t>
      </w:r>
      <w:r w:rsidR="00225A87">
        <w:rPr>
          <w:lang w:val="hr-HR"/>
        </w:rPr>
        <w:t>uslova</w:t>
      </w:r>
      <w:r w:rsidR="00563365">
        <w:rPr>
          <w:lang w:val="hr-HR"/>
        </w:rPr>
        <w:t>, što bi kao posljedicu imalo da da</w:t>
      </w:r>
      <w:r w:rsidR="00225A87">
        <w:rPr>
          <w:lang w:val="hr-HR"/>
        </w:rPr>
        <w:t>t</w:t>
      </w:r>
      <w:r w:rsidR="00563365">
        <w:rPr>
          <w:lang w:val="hr-HR"/>
        </w:rPr>
        <w:t>i instrumenti zaštite budu „</w:t>
      </w:r>
      <w:r w:rsidR="00E80B42">
        <w:rPr>
          <w:lang w:val="hr-HR"/>
        </w:rPr>
        <w:t>iz</w:t>
      </w:r>
      <w:r w:rsidR="00563365">
        <w:rPr>
          <w:lang w:val="hr-HR"/>
        </w:rPr>
        <w:t>van tržišta“ kod o</w:t>
      </w:r>
      <w:r w:rsidR="00E80B42">
        <w:rPr>
          <w:lang w:val="hr-HR"/>
        </w:rPr>
        <w:t>dređivanja</w:t>
      </w:r>
      <w:r w:rsidR="00563365">
        <w:rPr>
          <w:lang w:val="hr-HR"/>
        </w:rPr>
        <w:t xml:space="preserve">. Iz tog razloga su sugerisali da se subjektima dopusti da izmjene i dopune povezane sa računovodstvom zaštite od rizika primjenjuju retroaktivno. </w:t>
      </w:r>
    </w:p>
    <w:p w14:paraId="3A416394" w14:textId="7F8658E6" w:rsidR="00014FB0" w:rsidRPr="00EF5D0A" w:rsidRDefault="00A92D4A">
      <w:pPr>
        <w:pStyle w:val="IASBNormalnpara"/>
        <w:rPr>
          <w:lang w:val="hr-HR"/>
        </w:rPr>
      </w:pPr>
      <w:r>
        <w:rPr>
          <w:lang w:val="hr-HR"/>
        </w:rPr>
        <w:t>OZ</w:t>
      </w:r>
      <w:r w:rsidR="001C3CBD" w:rsidRPr="00EF5D0A">
        <w:rPr>
          <w:lang w:val="hr-HR"/>
        </w:rPr>
        <w:t>7.108</w:t>
      </w:r>
      <w:r w:rsidR="001C3CBD" w:rsidRPr="00EF5D0A">
        <w:rPr>
          <w:lang w:val="hr-HR"/>
        </w:rPr>
        <w:tab/>
      </w:r>
      <w:r w:rsidR="001C3CBD" w:rsidRPr="00563365">
        <w:rPr>
          <w:i/>
          <w:iCs/>
          <w:lang w:val="hr-HR"/>
        </w:rPr>
        <w:t>IASB</w:t>
      </w:r>
      <w:r w:rsidR="001C3CBD" w:rsidRPr="00EF5D0A">
        <w:rPr>
          <w:lang w:val="hr-HR"/>
        </w:rPr>
        <w:t xml:space="preserve"> </w:t>
      </w:r>
      <w:r w:rsidR="00563365">
        <w:rPr>
          <w:lang w:val="hr-HR"/>
        </w:rPr>
        <w:t xml:space="preserve">je uvažio moguće efekte i posljedice koje su prepoznali dionici, ali su potvrdili da subjekti računovodstvo zaštite mogu primjenjivati isključivo prospektivno. Računovodstvo zaštite je izuzeto od zahtjeva MSFI-ja 9 u pogledu priznavanja i mjerenja i subjekti </w:t>
      </w:r>
      <w:r w:rsidR="00E80B42">
        <w:rPr>
          <w:lang w:val="hr-HR"/>
        </w:rPr>
        <w:t xml:space="preserve">svaku </w:t>
      </w:r>
      <w:r w:rsidR="00563365">
        <w:rPr>
          <w:lang w:val="hr-HR"/>
        </w:rPr>
        <w:t>zaštićenu stavku i instrument zaštite o</w:t>
      </w:r>
      <w:r w:rsidR="00E80B42">
        <w:rPr>
          <w:lang w:val="hr-HR"/>
        </w:rPr>
        <w:t xml:space="preserve">dređuju zasebno. </w:t>
      </w:r>
      <w:r w:rsidR="00563365">
        <w:rPr>
          <w:lang w:val="hr-HR"/>
        </w:rPr>
        <w:t>Dopuštanjem retroaktivne primjene bi se</w:t>
      </w:r>
      <w:r w:rsidR="00FE1B4F">
        <w:rPr>
          <w:lang w:val="hr-HR"/>
        </w:rPr>
        <w:t xml:space="preserve"> omogućilo da se odnos</w:t>
      </w:r>
      <w:r w:rsidR="00E80B42">
        <w:rPr>
          <w:lang w:val="hr-HR"/>
        </w:rPr>
        <w:t>i</w:t>
      </w:r>
      <w:r w:rsidR="00FE1B4F">
        <w:rPr>
          <w:lang w:val="hr-HR"/>
        </w:rPr>
        <w:t xml:space="preserve"> zaštite o</w:t>
      </w:r>
      <w:r w:rsidR="00E80B42">
        <w:rPr>
          <w:lang w:val="hr-HR"/>
        </w:rPr>
        <w:t xml:space="preserve">dređuju tako da se ostvari konkretan </w:t>
      </w:r>
      <w:r w:rsidR="00FE1B4F">
        <w:rPr>
          <w:lang w:val="hr-HR"/>
        </w:rPr>
        <w:t xml:space="preserve">računovodstveni ishod. Pored toga, retroaktivna primjena bi mogla dovesti i do toga da subjekti prenose rezultate dobiti ili gubitka iz ranijih perioda u sadašnje, odnosno buduće a to bi ličilo na </w:t>
      </w:r>
      <w:r w:rsidR="000D6D8B">
        <w:rPr>
          <w:lang w:val="hr-HR"/>
        </w:rPr>
        <w:t xml:space="preserve">računovodstveno </w:t>
      </w:r>
      <w:r w:rsidR="00FE1B4F">
        <w:rPr>
          <w:lang w:val="hr-HR"/>
        </w:rPr>
        <w:t xml:space="preserve">upravljanje zaradom. </w:t>
      </w:r>
    </w:p>
    <w:p w14:paraId="7995F310" w14:textId="1C9DD545" w:rsidR="00014FB0" w:rsidRPr="00EF5D0A" w:rsidRDefault="00A92D4A">
      <w:pPr>
        <w:pStyle w:val="IASBNormalnpara"/>
        <w:rPr>
          <w:lang w:val="hr-HR"/>
        </w:rPr>
      </w:pPr>
      <w:r>
        <w:rPr>
          <w:lang w:val="hr-HR"/>
        </w:rPr>
        <w:t>OZ</w:t>
      </w:r>
      <w:r w:rsidR="001C3CBD" w:rsidRPr="00EF5D0A">
        <w:rPr>
          <w:lang w:val="hr-HR"/>
        </w:rPr>
        <w:t>7.109</w:t>
      </w:r>
      <w:r w:rsidR="001C3CBD" w:rsidRPr="00EF5D0A">
        <w:rPr>
          <w:lang w:val="hr-HR"/>
        </w:rPr>
        <w:tab/>
      </w:r>
      <w:r w:rsidR="001C3CBD" w:rsidRPr="00FE1B4F">
        <w:rPr>
          <w:i/>
          <w:iCs/>
          <w:lang w:val="hr-HR"/>
        </w:rPr>
        <w:t>IASB</w:t>
      </w:r>
      <w:r w:rsidR="001C3CBD" w:rsidRPr="00EF5D0A">
        <w:rPr>
          <w:lang w:val="hr-HR"/>
        </w:rPr>
        <w:t xml:space="preserve"> </w:t>
      </w:r>
      <w:r w:rsidR="00FE1B4F">
        <w:rPr>
          <w:lang w:val="hr-HR"/>
        </w:rPr>
        <w:t xml:space="preserve">uvažava sve poteškoće koje će biti uzrokovane </w:t>
      </w:r>
      <w:r w:rsidR="000D6D8B">
        <w:rPr>
          <w:lang w:val="hr-HR"/>
        </w:rPr>
        <w:t>određivanjem</w:t>
      </w:r>
      <w:r w:rsidR="00FE1B4F">
        <w:rPr>
          <w:lang w:val="hr-HR"/>
        </w:rPr>
        <w:t xml:space="preserve"> </w:t>
      </w:r>
      <w:r w:rsidR="00E80B42">
        <w:rPr>
          <w:lang w:val="hr-HR"/>
        </w:rPr>
        <w:t>iz</w:t>
      </w:r>
      <w:r w:rsidR="00FE1B4F">
        <w:rPr>
          <w:lang w:val="hr-HR"/>
        </w:rPr>
        <w:t>vantržišnih instrumenata zaštite u novim odnosima zaštite kakvo je svojstveno predmetnoj vrsti ugovora koji su dugoročni, ali su konstatovali da o</w:t>
      </w:r>
      <w:r w:rsidR="000D6D8B">
        <w:rPr>
          <w:lang w:val="hr-HR"/>
        </w:rPr>
        <w:t>dređivanje izvan tržišta n</w:t>
      </w:r>
      <w:r w:rsidR="00FE1B4F">
        <w:rPr>
          <w:lang w:val="hr-HR"/>
        </w:rPr>
        <w:t xml:space="preserve">ije nov niti jedinstven problem i da se već javlja kod primjene zahtjeva računovodstva zaštite od rizika iz MRS-a </w:t>
      </w:r>
      <w:r w:rsidR="001C3CBD" w:rsidRPr="00EF5D0A">
        <w:rPr>
          <w:lang w:val="hr-HR"/>
        </w:rPr>
        <w:t>39.</w:t>
      </w:r>
    </w:p>
    <w:p w14:paraId="089AA5E6" w14:textId="5B7879FF" w:rsidR="00014FB0" w:rsidRPr="00EF5D0A" w:rsidRDefault="00A92D4A">
      <w:pPr>
        <w:pStyle w:val="IASBNormalnpara"/>
        <w:rPr>
          <w:lang w:val="hr-HR"/>
        </w:rPr>
      </w:pPr>
      <w:r>
        <w:rPr>
          <w:lang w:val="hr-HR"/>
        </w:rPr>
        <w:t>OZ</w:t>
      </w:r>
      <w:r w:rsidR="001C3CBD" w:rsidRPr="00EF5D0A">
        <w:rPr>
          <w:lang w:val="hr-HR"/>
        </w:rPr>
        <w:t>7.110</w:t>
      </w:r>
      <w:r w:rsidR="001C3CBD" w:rsidRPr="00EF5D0A">
        <w:rPr>
          <w:lang w:val="hr-HR"/>
        </w:rPr>
        <w:tab/>
      </w:r>
      <w:r w:rsidR="000D6D8B">
        <w:rPr>
          <w:lang w:val="hr-HR"/>
        </w:rPr>
        <w:t xml:space="preserve">Pored navedenog, </w:t>
      </w:r>
      <w:r w:rsidR="00FE1B4F" w:rsidRPr="00FE1B4F">
        <w:rPr>
          <w:i/>
          <w:iCs/>
          <w:lang w:val="hr-HR"/>
        </w:rPr>
        <w:t>IASB</w:t>
      </w:r>
      <w:r w:rsidR="00FE1B4F">
        <w:rPr>
          <w:lang w:val="hr-HR"/>
        </w:rPr>
        <w:t xml:space="preserve"> je napomenuo da </w:t>
      </w:r>
      <w:r w:rsidR="00E57D9D">
        <w:rPr>
          <w:lang w:val="hr-HR"/>
        </w:rPr>
        <w:t>bi isključiva svrha</w:t>
      </w:r>
      <w:r w:rsidR="00FE1B4F">
        <w:rPr>
          <w:lang w:val="hr-HR"/>
        </w:rPr>
        <w:t xml:space="preserve"> dopuštanj</w:t>
      </w:r>
      <w:r w:rsidR="00E57D9D">
        <w:rPr>
          <w:lang w:val="hr-HR"/>
        </w:rPr>
        <w:t>a</w:t>
      </w:r>
      <w:r w:rsidR="00FE1B4F">
        <w:rPr>
          <w:lang w:val="hr-HR"/>
        </w:rPr>
        <w:t xml:space="preserve"> promjena odnosa zaštite </w:t>
      </w:r>
      <w:r w:rsidR="00E57D9D">
        <w:rPr>
          <w:lang w:val="hr-HR"/>
        </w:rPr>
        <w:t xml:space="preserve">bila da se izmijenjeno </w:t>
      </w:r>
      <w:r w:rsidR="00FE1B4F">
        <w:rPr>
          <w:lang w:val="hr-HR"/>
        </w:rPr>
        <w:t>o</w:t>
      </w:r>
      <w:r w:rsidR="002824FC">
        <w:rPr>
          <w:lang w:val="hr-HR"/>
        </w:rPr>
        <w:t>dređivanje primijeni</w:t>
      </w:r>
      <w:r w:rsidR="00FE1B4F">
        <w:rPr>
          <w:lang w:val="hr-HR"/>
        </w:rPr>
        <w:t xml:space="preserve"> prospektivno, bez mijenjanja ranijih perioda. </w:t>
      </w:r>
      <w:r w:rsidR="00E57D9D">
        <w:rPr>
          <w:lang w:val="hr-HR"/>
        </w:rPr>
        <w:t>Ipak, zaključili su da bi dopuštanje istog moglo uzrokovati operativnu složeno</w:t>
      </w:r>
      <w:r w:rsidR="002824FC">
        <w:rPr>
          <w:lang w:val="hr-HR"/>
        </w:rPr>
        <w:t>st</w:t>
      </w:r>
      <w:r w:rsidR="00E57D9D">
        <w:rPr>
          <w:lang w:val="hr-HR"/>
        </w:rPr>
        <w:t xml:space="preserve">. </w:t>
      </w:r>
      <w:r w:rsidR="00FE1B4F">
        <w:rPr>
          <w:lang w:val="hr-HR"/>
        </w:rPr>
        <w:t xml:space="preserve">Iz tog razloga, </w:t>
      </w:r>
      <w:r w:rsidR="00FE1B4F" w:rsidRPr="00E57D9D">
        <w:rPr>
          <w:i/>
          <w:iCs/>
          <w:lang w:val="hr-HR"/>
        </w:rPr>
        <w:t>IASB</w:t>
      </w:r>
      <w:r w:rsidR="00FE1B4F">
        <w:rPr>
          <w:lang w:val="hr-HR"/>
        </w:rPr>
        <w:t xml:space="preserve"> je odlučio dopustiti subjektima da raskinu svaki sadašnji odnos zaštite kako bi omogućili da se </w:t>
      </w:r>
      <w:r w:rsidR="002824FC">
        <w:rPr>
          <w:lang w:val="hr-HR"/>
        </w:rPr>
        <w:t xml:space="preserve">odredi </w:t>
      </w:r>
      <w:r w:rsidR="00FE1B4F">
        <w:rPr>
          <w:lang w:val="hr-HR"/>
        </w:rPr>
        <w:t xml:space="preserve">novi u skladu s izmjenama i dopunama iz tačaka 6.10.1 i 6.10.2. </w:t>
      </w:r>
      <w:r w:rsidR="00BB31EA">
        <w:rPr>
          <w:lang w:val="hr-HR"/>
        </w:rPr>
        <w:t xml:space="preserve">služeći se istim instrumentom zaštite. </w:t>
      </w:r>
    </w:p>
    <w:p w14:paraId="2FDB306A" w14:textId="77777777" w:rsidR="00014FB0" w:rsidRPr="00EF5D0A" w:rsidRDefault="001C3CBD">
      <w:pPr>
        <w:pStyle w:val="IASBNormalnpara"/>
        <w:rPr>
          <w:lang w:val="hr-HR"/>
        </w:rPr>
      </w:pPr>
      <w:r w:rsidRPr="00EF5D0A">
        <w:rPr>
          <w:lang w:val="hr-HR"/>
        </w:rPr>
        <w:tab/>
        <w:t>...</w:t>
      </w:r>
    </w:p>
    <w:p w14:paraId="06DD0D68" w14:textId="77777777" w:rsidR="00014FB0" w:rsidRPr="00EF5D0A" w:rsidRDefault="00014FB0">
      <w:pPr>
        <w:pStyle w:val="SectionEnd"/>
        <w:rPr>
          <w:lang w:val="hr-HR"/>
        </w:rPr>
        <w:sectPr w:rsidR="00014FB0" w:rsidRPr="00EF5D0A">
          <w:headerReference w:type="even" r:id="rId42"/>
          <w:headerReference w:type="default" r:id="rId43"/>
          <w:footerReference w:type="even" r:id="rId44"/>
          <w:footerReference w:type="default" r:id="rId45"/>
          <w:pgSz w:w="11895" w:h="16834"/>
          <w:pgMar w:top="1440" w:right="1440" w:bottom="1440" w:left="1440" w:header="720" w:footer="720" w:gutter="0"/>
          <w:cols w:space="720"/>
        </w:sectPr>
      </w:pPr>
    </w:p>
    <w:p w14:paraId="6957F96A" w14:textId="600151AE" w:rsidR="00014FB0" w:rsidRPr="00EF5D0A" w:rsidRDefault="005E1E08" w:rsidP="00974ABC">
      <w:pPr>
        <w:pStyle w:val="IASBSectionTitle2NonInd"/>
        <w:spacing w:before="200"/>
        <w:rPr>
          <w:lang w:val="hr-HR"/>
        </w:rPr>
      </w:pPr>
      <w:bookmarkStart w:id="52" w:name="unique_39"/>
      <w:r>
        <w:rPr>
          <w:lang w:val="hr-HR"/>
        </w:rPr>
        <w:lastRenderedPageBreak/>
        <w:t xml:space="preserve">Suprotna mišljenja </w:t>
      </w:r>
      <w:bookmarkEnd w:id="52"/>
    </w:p>
    <w:p w14:paraId="6F083EE8" w14:textId="77777777" w:rsidR="00014FB0" w:rsidRPr="00EF5D0A" w:rsidRDefault="001C3CBD" w:rsidP="00974ABC">
      <w:pPr>
        <w:pStyle w:val="IASBNormalnpara"/>
        <w:spacing w:before="200"/>
        <w:rPr>
          <w:lang w:val="hr-HR"/>
        </w:rPr>
      </w:pPr>
      <w:r w:rsidRPr="00EF5D0A">
        <w:rPr>
          <w:lang w:val="hr-HR"/>
        </w:rPr>
        <w:tab/>
        <w:t>...</w:t>
      </w:r>
    </w:p>
    <w:p w14:paraId="2A623D99" w14:textId="79083B4E" w:rsidR="00014FB0" w:rsidRPr="00EF5D0A" w:rsidRDefault="005E1E08" w:rsidP="00974ABC">
      <w:pPr>
        <w:pStyle w:val="IASBSectionTitle2Ind"/>
        <w:spacing w:before="200"/>
        <w:rPr>
          <w:lang w:val="hr-HR"/>
        </w:rPr>
      </w:pPr>
      <w:bookmarkStart w:id="53" w:name="unique_160"/>
      <w:r>
        <w:rPr>
          <w:lang w:val="hr-HR"/>
        </w:rPr>
        <w:t xml:space="preserve">Neslaganje </w:t>
      </w:r>
      <w:r w:rsidR="001C3CBD" w:rsidRPr="00EF5D0A">
        <w:rPr>
          <w:lang w:val="hr-HR"/>
        </w:rPr>
        <w:t>Bruc</w:t>
      </w:r>
      <w:r>
        <w:rPr>
          <w:lang w:val="hr-HR"/>
        </w:rPr>
        <w:t>a</w:t>
      </w:r>
      <w:r w:rsidR="001C3CBD" w:rsidRPr="00EF5D0A">
        <w:rPr>
          <w:lang w:val="hr-HR"/>
        </w:rPr>
        <w:t xml:space="preserve"> Mackenzi</w:t>
      </w:r>
      <w:r>
        <w:rPr>
          <w:lang w:val="hr-HR"/>
        </w:rPr>
        <w:t>a</w:t>
      </w:r>
      <w:r w:rsidR="001C3CBD" w:rsidRPr="00EF5D0A">
        <w:rPr>
          <w:lang w:val="hr-HR"/>
        </w:rPr>
        <w:t xml:space="preserve"> </w:t>
      </w:r>
      <w:r>
        <w:rPr>
          <w:lang w:val="hr-HR"/>
        </w:rPr>
        <w:t>i</w:t>
      </w:r>
      <w:r w:rsidR="001C3CBD" w:rsidRPr="00EF5D0A">
        <w:rPr>
          <w:lang w:val="hr-HR"/>
        </w:rPr>
        <w:t xml:space="preserve"> Robert</w:t>
      </w:r>
      <w:r>
        <w:rPr>
          <w:lang w:val="hr-HR"/>
        </w:rPr>
        <w:t>a</w:t>
      </w:r>
      <w:r w:rsidR="001C3CBD" w:rsidRPr="00EF5D0A">
        <w:rPr>
          <w:lang w:val="hr-HR"/>
        </w:rPr>
        <w:t xml:space="preserve"> Uhl</w:t>
      </w:r>
      <w:r>
        <w:rPr>
          <w:lang w:val="hr-HR"/>
        </w:rPr>
        <w:t>a</w:t>
      </w:r>
      <w:r w:rsidR="001C3CBD" w:rsidRPr="00EF5D0A">
        <w:rPr>
          <w:lang w:val="hr-HR"/>
        </w:rPr>
        <w:t xml:space="preserve"> </w:t>
      </w:r>
      <w:r>
        <w:rPr>
          <w:lang w:val="hr-HR"/>
        </w:rPr>
        <w:t xml:space="preserve">sa dokumentom </w:t>
      </w:r>
      <w:r w:rsidR="00DF65E9">
        <w:rPr>
          <w:i/>
          <w:lang w:val="hr-HR"/>
        </w:rPr>
        <w:t xml:space="preserve">Ugovori </w:t>
      </w:r>
      <w:r w:rsidR="003727BB">
        <w:rPr>
          <w:i/>
          <w:lang w:val="hr-HR"/>
        </w:rPr>
        <w:t xml:space="preserve">o </w:t>
      </w:r>
      <w:r w:rsidR="00DF65E9">
        <w:rPr>
          <w:i/>
          <w:lang w:val="hr-HR"/>
        </w:rPr>
        <w:t>električn</w:t>
      </w:r>
      <w:r w:rsidR="003727BB">
        <w:rPr>
          <w:i/>
          <w:lang w:val="hr-HR"/>
        </w:rPr>
        <w:t>oj</w:t>
      </w:r>
      <w:r w:rsidR="00DF65E9">
        <w:rPr>
          <w:i/>
          <w:lang w:val="hr-HR"/>
        </w:rPr>
        <w:t xml:space="preserve"> energij</w:t>
      </w:r>
      <w:r w:rsidR="003727BB">
        <w:rPr>
          <w:i/>
          <w:lang w:val="hr-HR"/>
        </w:rPr>
        <w:t>i</w:t>
      </w:r>
      <w:r w:rsidR="00DF65E9">
        <w:rPr>
          <w:i/>
          <w:lang w:val="hr-HR"/>
        </w:rPr>
        <w:t xml:space="preserve"> iz izvora zavisnih od prirodnih uslova</w:t>
      </w:r>
      <w:r>
        <w:rPr>
          <w:i/>
          <w:lang w:val="hr-HR"/>
        </w:rPr>
        <w:t xml:space="preserve"> </w:t>
      </w:r>
      <w:r w:rsidR="001C3CBD" w:rsidRPr="00EF5D0A">
        <w:rPr>
          <w:lang w:val="hr-HR"/>
        </w:rPr>
        <w:t>(i</w:t>
      </w:r>
      <w:r>
        <w:rPr>
          <w:lang w:val="hr-HR"/>
        </w:rPr>
        <w:t xml:space="preserve">zdanog </w:t>
      </w:r>
      <w:r w:rsidR="001C3CBD" w:rsidRPr="00EF5D0A">
        <w:rPr>
          <w:lang w:val="hr-HR"/>
        </w:rPr>
        <w:t>2024</w:t>
      </w:r>
      <w:r>
        <w:rPr>
          <w:lang w:val="hr-HR"/>
        </w:rPr>
        <w:t>. godine</w:t>
      </w:r>
      <w:r w:rsidR="001C3CBD" w:rsidRPr="00EF5D0A">
        <w:rPr>
          <w:lang w:val="hr-HR"/>
        </w:rPr>
        <w:t>)</w:t>
      </w:r>
      <w:bookmarkEnd w:id="53"/>
    </w:p>
    <w:p w14:paraId="15E1DF0A" w14:textId="1EEFE7AB" w:rsidR="00014FB0" w:rsidRPr="00EF5D0A" w:rsidRDefault="00706134" w:rsidP="00974ABC">
      <w:pPr>
        <w:pStyle w:val="IASBNormalnpara"/>
        <w:spacing w:before="200"/>
        <w:rPr>
          <w:lang w:val="hr-HR"/>
        </w:rPr>
      </w:pPr>
      <w:r>
        <w:rPr>
          <w:lang w:val="hr-HR"/>
        </w:rPr>
        <w:t>SM</w:t>
      </w:r>
      <w:r w:rsidR="002824FC">
        <w:rPr>
          <w:lang w:val="hr-HR"/>
        </w:rPr>
        <w:t>.</w:t>
      </w:r>
      <w:r w:rsidR="001C3CBD" w:rsidRPr="00EF5D0A">
        <w:rPr>
          <w:lang w:val="hr-HR"/>
        </w:rPr>
        <w:t>1</w:t>
      </w:r>
      <w:r w:rsidR="001C3CBD" w:rsidRPr="00EF5D0A">
        <w:rPr>
          <w:lang w:val="hr-HR"/>
        </w:rPr>
        <w:tab/>
      </w:r>
      <w:r w:rsidR="00E57D9D">
        <w:rPr>
          <w:lang w:val="hr-HR"/>
        </w:rPr>
        <w:t>G</w:t>
      </w:r>
      <w:r w:rsidR="003727BB">
        <w:rPr>
          <w:lang w:val="hr-HR"/>
        </w:rPr>
        <w:t>g</w:t>
      </w:r>
      <w:r w:rsidR="00E57D9D">
        <w:rPr>
          <w:lang w:val="hr-HR"/>
        </w:rPr>
        <w:t xml:space="preserve">. </w:t>
      </w:r>
      <w:r w:rsidR="001C3CBD" w:rsidRPr="00EF5D0A">
        <w:rPr>
          <w:lang w:val="hr-HR"/>
        </w:rPr>
        <w:t xml:space="preserve">Mackenzie </w:t>
      </w:r>
      <w:r w:rsidR="00E57D9D">
        <w:rPr>
          <w:lang w:val="hr-HR"/>
        </w:rPr>
        <w:t>i</w:t>
      </w:r>
      <w:r w:rsidR="001C3CBD" w:rsidRPr="00EF5D0A">
        <w:rPr>
          <w:lang w:val="hr-HR"/>
        </w:rPr>
        <w:t xml:space="preserve"> Uhl </w:t>
      </w:r>
      <w:r w:rsidR="00E57D9D">
        <w:rPr>
          <w:lang w:val="hr-HR"/>
        </w:rPr>
        <w:t xml:space="preserve">su izrazili neslaganje s proširivanjem izuzeća od djelokruga MSFI-ja </w:t>
      </w:r>
      <w:r w:rsidR="001C3CBD" w:rsidRPr="00EF5D0A">
        <w:rPr>
          <w:lang w:val="hr-HR"/>
        </w:rPr>
        <w:t xml:space="preserve">9 </w:t>
      </w:r>
      <w:r w:rsidR="001C3CBD" w:rsidRPr="00EF5D0A">
        <w:rPr>
          <w:i/>
          <w:lang w:val="hr-HR"/>
        </w:rPr>
        <w:t>Finan</w:t>
      </w:r>
      <w:r w:rsidR="00E57D9D">
        <w:rPr>
          <w:i/>
          <w:lang w:val="hr-HR"/>
        </w:rPr>
        <w:t>s</w:t>
      </w:r>
      <w:r w:rsidR="001C3CBD" w:rsidRPr="00EF5D0A">
        <w:rPr>
          <w:i/>
          <w:lang w:val="hr-HR"/>
        </w:rPr>
        <w:t>i</w:t>
      </w:r>
      <w:r w:rsidR="00E57D9D">
        <w:rPr>
          <w:i/>
          <w:lang w:val="hr-HR"/>
        </w:rPr>
        <w:t>jski</w:t>
      </w:r>
      <w:r w:rsidR="001C3CBD" w:rsidRPr="00EF5D0A">
        <w:rPr>
          <w:i/>
          <w:lang w:val="hr-HR"/>
        </w:rPr>
        <w:t xml:space="preserve"> </w:t>
      </w:r>
      <w:r w:rsidR="00E57D9D">
        <w:rPr>
          <w:i/>
          <w:lang w:val="hr-HR"/>
        </w:rPr>
        <w:t>i</w:t>
      </w:r>
      <w:r w:rsidR="001C3CBD" w:rsidRPr="00EF5D0A">
        <w:rPr>
          <w:i/>
          <w:lang w:val="hr-HR"/>
        </w:rPr>
        <w:t>nstrument</w:t>
      </w:r>
      <w:r w:rsidR="00E57D9D">
        <w:rPr>
          <w:i/>
          <w:lang w:val="hr-HR"/>
        </w:rPr>
        <w:t>i</w:t>
      </w:r>
      <w:r w:rsidR="001C3CBD" w:rsidRPr="00EF5D0A">
        <w:rPr>
          <w:lang w:val="hr-HR"/>
        </w:rPr>
        <w:t xml:space="preserve"> </w:t>
      </w:r>
      <w:r w:rsidR="00E57D9D">
        <w:rPr>
          <w:lang w:val="hr-HR"/>
        </w:rPr>
        <w:t>kako je da</w:t>
      </w:r>
      <w:r w:rsidR="002824FC">
        <w:rPr>
          <w:lang w:val="hr-HR"/>
        </w:rPr>
        <w:t>t</w:t>
      </w:r>
      <w:r w:rsidR="00E57D9D">
        <w:rPr>
          <w:lang w:val="hr-HR"/>
        </w:rPr>
        <w:t xml:space="preserve">o u ovim izmjenama i dopunama </w:t>
      </w:r>
      <w:r w:rsidR="002824FC">
        <w:rPr>
          <w:lang w:val="hr-HR"/>
        </w:rPr>
        <w:t>da</w:t>
      </w:r>
      <w:r w:rsidR="00E57D9D">
        <w:rPr>
          <w:lang w:val="hr-HR"/>
        </w:rPr>
        <w:t xml:space="preserve"> bi se obuhvatili </w:t>
      </w:r>
      <w:r w:rsidR="002824FC">
        <w:rPr>
          <w:lang w:val="hr-HR"/>
        </w:rPr>
        <w:t>pojedini</w:t>
      </w:r>
      <w:r w:rsidR="00E57D9D">
        <w:rPr>
          <w:lang w:val="hr-HR"/>
        </w:rPr>
        <w:t xml:space="preserve"> </w:t>
      </w:r>
      <w:r w:rsidR="00DF65E9">
        <w:rPr>
          <w:lang w:val="hr-HR"/>
        </w:rPr>
        <w:t xml:space="preserve">ugovori </w:t>
      </w:r>
      <w:r w:rsidR="002824FC">
        <w:rPr>
          <w:lang w:val="hr-HR"/>
        </w:rPr>
        <w:t xml:space="preserve">o </w:t>
      </w:r>
      <w:r w:rsidR="00DF65E9">
        <w:rPr>
          <w:lang w:val="hr-HR"/>
        </w:rPr>
        <w:t>električn</w:t>
      </w:r>
      <w:r w:rsidR="002824FC">
        <w:rPr>
          <w:lang w:val="hr-HR"/>
        </w:rPr>
        <w:t>oj</w:t>
      </w:r>
      <w:r w:rsidR="00DF65E9">
        <w:rPr>
          <w:lang w:val="hr-HR"/>
        </w:rPr>
        <w:t xml:space="preserve"> energiju iz izvora zavisnih od prirodnih uslova</w:t>
      </w:r>
      <w:r w:rsidR="00E57D9D">
        <w:rPr>
          <w:lang w:val="hr-HR"/>
        </w:rPr>
        <w:t xml:space="preserve">. </w:t>
      </w:r>
    </w:p>
    <w:p w14:paraId="15364EEA" w14:textId="176F0EDB" w:rsidR="00014FB0" w:rsidRPr="00EF5D0A" w:rsidRDefault="00706134">
      <w:pPr>
        <w:pStyle w:val="IASBNormalnpara"/>
        <w:rPr>
          <w:lang w:val="hr-HR"/>
        </w:rPr>
      </w:pPr>
      <w:r>
        <w:rPr>
          <w:lang w:val="hr-HR"/>
        </w:rPr>
        <w:t>SM</w:t>
      </w:r>
      <w:r w:rsidR="002824FC">
        <w:rPr>
          <w:lang w:val="hr-HR"/>
        </w:rPr>
        <w:t>.</w:t>
      </w:r>
      <w:r w:rsidR="001C3CBD" w:rsidRPr="00EF5D0A">
        <w:rPr>
          <w:lang w:val="hr-HR"/>
        </w:rPr>
        <w:t>2</w:t>
      </w:r>
      <w:r w:rsidR="001C3CBD" w:rsidRPr="00EF5D0A">
        <w:rPr>
          <w:lang w:val="hr-HR"/>
        </w:rPr>
        <w:tab/>
      </w:r>
      <w:r w:rsidR="00E57D9D">
        <w:rPr>
          <w:lang w:val="hr-HR"/>
        </w:rPr>
        <w:t xml:space="preserve">U skladu sa MSFI-jem 9 </w:t>
      </w:r>
      <w:r w:rsidR="001C3CBD" w:rsidRPr="00EF5D0A">
        <w:rPr>
          <w:lang w:val="hr-HR"/>
        </w:rPr>
        <w:t>(</w:t>
      </w:r>
      <w:r w:rsidR="00E57D9D">
        <w:rPr>
          <w:lang w:val="hr-HR"/>
        </w:rPr>
        <w:t>a prije njega MRS-om</w:t>
      </w:r>
      <w:r w:rsidR="001C3CBD" w:rsidRPr="00EF5D0A">
        <w:rPr>
          <w:lang w:val="hr-HR"/>
        </w:rPr>
        <w:t xml:space="preserve"> 39 </w:t>
      </w:r>
      <w:r w:rsidR="001C3CBD" w:rsidRPr="00EF5D0A">
        <w:rPr>
          <w:i/>
          <w:lang w:val="hr-HR"/>
        </w:rPr>
        <w:t>Finan</w:t>
      </w:r>
      <w:r w:rsidR="00E57D9D">
        <w:rPr>
          <w:i/>
          <w:lang w:val="hr-HR"/>
        </w:rPr>
        <w:t>s</w:t>
      </w:r>
      <w:r w:rsidR="001C3CBD" w:rsidRPr="00EF5D0A">
        <w:rPr>
          <w:i/>
          <w:lang w:val="hr-HR"/>
        </w:rPr>
        <w:t>i</w:t>
      </w:r>
      <w:r w:rsidR="00E57D9D">
        <w:rPr>
          <w:i/>
          <w:lang w:val="hr-HR"/>
        </w:rPr>
        <w:t>jski i</w:t>
      </w:r>
      <w:r w:rsidR="001C3CBD" w:rsidRPr="00EF5D0A">
        <w:rPr>
          <w:i/>
          <w:lang w:val="hr-HR"/>
        </w:rPr>
        <w:t>nstrument</w:t>
      </w:r>
      <w:r w:rsidR="00E57D9D">
        <w:rPr>
          <w:i/>
          <w:lang w:val="hr-HR"/>
        </w:rPr>
        <w:t>i</w:t>
      </w:r>
      <w:r w:rsidR="001C3CBD" w:rsidRPr="00EF5D0A">
        <w:rPr>
          <w:i/>
          <w:lang w:val="hr-HR"/>
        </w:rPr>
        <w:t xml:space="preserve">: </w:t>
      </w:r>
      <w:r w:rsidR="00E57D9D">
        <w:rPr>
          <w:i/>
          <w:lang w:val="hr-HR"/>
        </w:rPr>
        <w:t>Priznavanje i mjerenje</w:t>
      </w:r>
      <w:r w:rsidR="001C3CBD" w:rsidRPr="00EF5D0A">
        <w:rPr>
          <w:lang w:val="hr-HR"/>
        </w:rPr>
        <w:t>)</w:t>
      </w:r>
      <w:r w:rsidR="00E57D9D">
        <w:rPr>
          <w:lang w:val="hr-HR"/>
        </w:rPr>
        <w:t xml:space="preserve">, subjekti su dužni mjeriti po fer vrijednosti one derivatne ugovore o kupovini ili prodaji nefinansijskih stavki koje je moguće izmiriti u neto iznosu gotovine </w:t>
      </w:r>
      <w:r w:rsidR="001C3CBD" w:rsidRPr="00EF5D0A">
        <w:rPr>
          <w:lang w:val="hr-HR"/>
        </w:rPr>
        <w:t>(</w:t>
      </w:r>
      <w:r w:rsidR="00E57D9D">
        <w:rPr>
          <w:lang w:val="hr-HR"/>
        </w:rPr>
        <w:t>ili drug</w:t>
      </w:r>
      <w:r w:rsidR="009F3711">
        <w:rPr>
          <w:lang w:val="hr-HR"/>
        </w:rPr>
        <w:t>im</w:t>
      </w:r>
      <w:r w:rsidR="00E57D9D">
        <w:rPr>
          <w:lang w:val="hr-HR"/>
        </w:rPr>
        <w:t xml:space="preserve"> finansijsk</w:t>
      </w:r>
      <w:r w:rsidR="009F3711">
        <w:rPr>
          <w:lang w:val="hr-HR"/>
        </w:rPr>
        <w:t>im</w:t>
      </w:r>
      <w:r w:rsidR="00E57D9D">
        <w:rPr>
          <w:lang w:val="hr-HR"/>
        </w:rPr>
        <w:t xml:space="preserve"> instrument</w:t>
      </w:r>
      <w:r w:rsidR="009F3711">
        <w:rPr>
          <w:lang w:val="hr-HR"/>
        </w:rPr>
        <w:t>om</w:t>
      </w:r>
      <w:r w:rsidR="001C3CBD" w:rsidRPr="00EF5D0A">
        <w:rPr>
          <w:lang w:val="hr-HR"/>
        </w:rPr>
        <w:t xml:space="preserve">), </w:t>
      </w:r>
      <w:r w:rsidR="00E57D9D">
        <w:rPr>
          <w:lang w:val="hr-HR"/>
        </w:rPr>
        <w:t xml:space="preserve">osim kada je </w:t>
      </w:r>
      <w:r w:rsidR="009F3711">
        <w:rPr>
          <w:lang w:val="hr-HR"/>
        </w:rPr>
        <w:t>svrha</w:t>
      </w:r>
      <w:r w:rsidR="00E57D9D">
        <w:rPr>
          <w:lang w:val="hr-HR"/>
        </w:rPr>
        <w:t xml:space="preserve"> prijema (ili isporuke) nefinansijske stavke u skladu s</w:t>
      </w:r>
      <w:r w:rsidR="009F3711">
        <w:rPr>
          <w:lang w:val="hr-HR"/>
        </w:rPr>
        <w:t>a</w:t>
      </w:r>
      <w:r w:rsidR="00E57D9D">
        <w:rPr>
          <w:lang w:val="hr-HR"/>
        </w:rPr>
        <w:t xml:space="preserve"> očekivanim </w:t>
      </w:r>
      <w:r w:rsidR="009F3711">
        <w:rPr>
          <w:lang w:val="hr-HR"/>
        </w:rPr>
        <w:t xml:space="preserve">zahtjevima za korištenje </w:t>
      </w:r>
      <w:r w:rsidR="00E57D9D">
        <w:rPr>
          <w:lang w:val="hr-HR"/>
        </w:rPr>
        <w:t xml:space="preserve">subjekta (ili njegovim nabavkama, odnosno prodaji). Praksa neto izmirenja kompletnih ili dijelova derivatnih ugovora, poput prodaje nefinansijske stavke na </w:t>
      </w:r>
      <w:r w:rsidR="009F3711">
        <w:rPr>
          <w:lang w:val="hr-HR"/>
        </w:rPr>
        <w:t>postojećem</w:t>
      </w:r>
      <w:r w:rsidR="00E57D9D">
        <w:rPr>
          <w:lang w:val="hr-HR"/>
        </w:rPr>
        <w:t xml:space="preserve"> tržištu nakon njenog prijema, ne bi bila u skladu sa svrhom prijema koja je da zadovolji očekivanu potrošnju subjekta. </w:t>
      </w:r>
    </w:p>
    <w:p w14:paraId="5F7E1709" w14:textId="32AD86E0" w:rsidR="00014FB0" w:rsidRPr="00EF5D0A" w:rsidRDefault="00706134">
      <w:pPr>
        <w:pStyle w:val="IASBNormalnpara"/>
        <w:rPr>
          <w:lang w:val="hr-HR"/>
        </w:rPr>
      </w:pPr>
      <w:r>
        <w:rPr>
          <w:lang w:val="hr-HR"/>
        </w:rPr>
        <w:t>SM</w:t>
      </w:r>
      <w:r w:rsidR="002824FC">
        <w:rPr>
          <w:lang w:val="hr-HR"/>
        </w:rPr>
        <w:t>.</w:t>
      </w:r>
      <w:r w:rsidR="001C3CBD" w:rsidRPr="00EF5D0A">
        <w:rPr>
          <w:lang w:val="hr-HR"/>
        </w:rPr>
        <w:t>3</w:t>
      </w:r>
      <w:r w:rsidR="001C3CBD" w:rsidRPr="00EF5D0A">
        <w:rPr>
          <w:lang w:val="hr-HR"/>
        </w:rPr>
        <w:tab/>
      </w:r>
      <w:r w:rsidR="00E57D9D">
        <w:rPr>
          <w:lang w:val="hr-HR"/>
        </w:rPr>
        <w:t>Već odavno je općeprihvaćeno da mjerenje po fer vrijednosti kroz bilans uspjeha daje najrelevantnije informacije o derivatnim ugovorima koji se izmiruju u neto iznosima. Isto tako je prihvaćeno da mjerenje po fer vrijednosti nije najrelevantnije kada je derivatni ugovor sklopljen u svrhu kupovine nefinansijske stavke za vlastite potrebe subjekta (kako to nalaže t</w:t>
      </w:r>
      <w:r w:rsidR="009F3711">
        <w:rPr>
          <w:lang w:val="hr-HR"/>
        </w:rPr>
        <w:t>a</w:t>
      </w:r>
      <w:r w:rsidR="00E57D9D">
        <w:rPr>
          <w:lang w:val="hr-HR"/>
        </w:rPr>
        <w:t xml:space="preserve">čka 2.4 MSFI-ja 9), što daje povoda za odobravanje izuzeća. Subjekt koji je </w:t>
      </w:r>
      <w:r w:rsidR="00D52E50">
        <w:rPr>
          <w:lang w:val="hr-HR"/>
        </w:rPr>
        <w:t>iskoristio izuzeće mora</w:t>
      </w:r>
      <w:r w:rsidR="009F3711">
        <w:rPr>
          <w:lang w:val="hr-HR"/>
        </w:rPr>
        <w:t>,</w:t>
      </w:r>
      <w:r w:rsidR="00D52E50">
        <w:rPr>
          <w:lang w:val="hr-HR"/>
        </w:rPr>
        <w:t xml:space="preserve"> na kontinuiranoj osnovi</w:t>
      </w:r>
      <w:r w:rsidR="009F3711">
        <w:rPr>
          <w:lang w:val="hr-HR"/>
        </w:rPr>
        <w:t>,</w:t>
      </w:r>
      <w:r w:rsidR="00D52E50">
        <w:rPr>
          <w:lang w:val="hr-HR"/>
        </w:rPr>
        <w:t xml:space="preserve"> procjenjivati da li </w:t>
      </w:r>
      <w:r w:rsidR="009F3711">
        <w:rPr>
          <w:lang w:val="hr-HR"/>
        </w:rPr>
        <w:t xml:space="preserve">i dalje </w:t>
      </w:r>
      <w:r w:rsidR="00D52E50">
        <w:rPr>
          <w:lang w:val="hr-HR"/>
        </w:rPr>
        <w:t xml:space="preserve">zadovoljava kriterije da to napravi. Ako subjekt promijeni namjenu nefinansijske stavke (primjera radi, zbog toga što mu više nije potrebna), dolazi i do promjene </w:t>
      </w:r>
      <w:r w:rsidR="009F3711">
        <w:rPr>
          <w:lang w:val="hr-HR"/>
        </w:rPr>
        <w:t xml:space="preserve">u pogledu </w:t>
      </w:r>
      <w:r w:rsidR="00D52E50">
        <w:rPr>
          <w:lang w:val="hr-HR"/>
        </w:rPr>
        <w:t xml:space="preserve">njegove primjene izuzeća. </w:t>
      </w:r>
    </w:p>
    <w:p w14:paraId="03469EAC" w14:textId="4105DF41" w:rsidR="00014FB0" w:rsidRPr="00EF5D0A" w:rsidRDefault="00706134">
      <w:pPr>
        <w:pStyle w:val="IASBNormalnpara"/>
        <w:rPr>
          <w:lang w:val="hr-HR"/>
        </w:rPr>
      </w:pPr>
      <w:r>
        <w:rPr>
          <w:lang w:val="hr-HR"/>
        </w:rPr>
        <w:t>SM</w:t>
      </w:r>
      <w:r w:rsidR="002824FC">
        <w:rPr>
          <w:lang w:val="hr-HR"/>
        </w:rPr>
        <w:t>.</w:t>
      </w:r>
      <w:r w:rsidR="001C3CBD" w:rsidRPr="00EF5D0A">
        <w:rPr>
          <w:lang w:val="hr-HR"/>
        </w:rPr>
        <w:t>4</w:t>
      </w:r>
      <w:r w:rsidR="001C3CBD" w:rsidRPr="00EF5D0A">
        <w:rPr>
          <w:lang w:val="hr-HR"/>
        </w:rPr>
        <w:tab/>
      </w:r>
      <w:r w:rsidR="006854F6">
        <w:rPr>
          <w:lang w:val="hr-HR"/>
        </w:rPr>
        <w:t>Subjekti su te zahtjeve primjenjivali na ugovore o kupovini (i prodaji) električne energije otkako je MRS 39 stupio na snagu. Ne</w:t>
      </w:r>
      <w:r w:rsidR="00F12FFD">
        <w:rPr>
          <w:lang w:val="hr-HR"/>
        </w:rPr>
        <w:t>ke od karakteristika</w:t>
      </w:r>
      <w:r w:rsidR="006854F6">
        <w:rPr>
          <w:lang w:val="hr-HR"/>
        </w:rPr>
        <w:t xml:space="preserve"> električne energije se razlikuju od </w:t>
      </w:r>
      <w:r w:rsidR="00F12FFD">
        <w:rPr>
          <w:lang w:val="hr-HR"/>
        </w:rPr>
        <w:t>karakteristika</w:t>
      </w:r>
      <w:r w:rsidR="006854F6">
        <w:rPr>
          <w:lang w:val="hr-HR"/>
        </w:rPr>
        <w:t xml:space="preserve"> drugih nefinansijskih stavki. Najznačajnije od njih su to da se trenutno još uvijek ne može učinkovito pohraniti i da tržišni propisi u pravilu nalažu da se električna energija koju neće koristiti sam subjekt odmah preproda na promptnom tržištu. Bez obzira na te razlike, zahtjevi MRS-a 39 i MSFI-ja 9 su usvojeni kao relevantni i kao da daju vjeran prikaz stanja. </w:t>
      </w:r>
    </w:p>
    <w:p w14:paraId="4741DD43" w14:textId="3B6D2A03" w:rsidR="00014FB0" w:rsidRPr="00EF5D0A" w:rsidRDefault="00706134">
      <w:pPr>
        <w:pStyle w:val="IASBNormalnpara"/>
        <w:rPr>
          <w:lang w:val="hr-HR"/>
        </w:rPr>
      </w:pPr>
      <w:r>
        <w:rPr>
          <w:lang w:val="hr-HR"/>
        </w:rPr>
        <w:t>SM</w:t>
      </w:r>
      <w:r w:rsidR="002824FC">
        <w:rPr>
          <w:lang w:val="hr-HR"/>
        </w:rPr>
        <w:t>.</w:t>
      </w:r>
      <w:r w:rsidR="001C3CBD" w:rsidRPr="00EF5D0A">
        <w:rPr>
          <w:lang w:val="hr-HR"/>
        </w:rPr>
        <w:t>5</w:t>
      </w:r>
      <w:r w:rsidR="001C3CBD" w:rsidRPr="00EF5D0A">
        <w:rPr>
          <w:lang w:val="hr-HR"/>
        </w:rPr>
        <w:tab/>
      </w:r>
      <w:r w:rsidR="006854F6">
        <w:rPr>
          <w:lang w:val="hr-HR"/>
        </w:rPr>
        <w:t xml:space="preserve">U sklopu ovog projekta, pred </w:t>
      </w:r>
      <w:r w:rsidR="001C3CBD" w:rsidRPr="006854F6">
        <w:rPr>
          <w:i/>
          <w:iCs/>
          <w:lang w:val="hr-HR"/>
        </w:rPr>
        <w:t>IASB</w:t>
      </w:r>
      <w:r w:rsidR="006854F6">
        <w:rPr>
          <w:lang w:val="hr-HR"/>
        </w:rPr>
        <w:t xml:space="preserve"> su stavljeni </w:t>
      </w:r>
      <w:r w:rsidR="00DF65E9">
        <w:rPr>
          <w:lang w:val="hr-HR"/>
        </w:rPr>
        <w:t xml:space="preserve">ugovori </w:t>
      </w:r>
      <w:r w:rsidR="00F12FFD">
        <w:rPr>
          <w:lang w:val="hr-HR"/>
        </w:rPr>
        <w:t>o</w:t>
      </w:r>
      <w:r w:rsidR="00DF65E9">
        <w:rPr>
          <w:lang w:val="hr-HR"/>
        </w:rPr>
        <w:t xml:space="preserve"> električn</w:t>
      </w:r>
      <w:r w:rsidR="00F12FFD">
        <w:rPr>
          <w:lang w:val="hr-HR"/>
        </w:rPr>
        <w:t>oj</w:t>
      </w:r>
      <w:r w:rsidR="00DF65E9">
        <w:rPr>
          <w:lang w:val="hr-HR"/>
        </w:rPr>
        <w:t xml:space="preserve"> energij</w:t>
      </w:r>
      <w:r w:rsidR="00F12FFD">
        <w:rPr>
          <w:lang w:val="hr-HR"/>
        </w:rPr>
        <w:t>i</w:t>
      </w:r>
      <w:r w:rsidR="00DF65E9">
        <w:rPr>
          <w:lang w:val="hr-HR"/>
        </w:rPr>
        <w:t xml:space="preserve"> iz izvora zavisnih od prirodnih uslova</w:t>
      </w:r>
      <w:r w:rsidR="006854F6">
        <w:rPr>
          <w:lang w:val="hr-HR"/>
        </w:rPr>
        <w:t xml:space="preserve"> koji imaju određene karakteristike. Razlike između takvih i drugih ugovora koji se tiču električne energije ogledaju se u tome da ovdje izvori iz koj</w:t>
      </w:r>
      <w:r w:rsidR="00F12FFD">
        <w:rPr>
          <w:lang w:val="hr-HR"/>
        </w:rPr>
        <w:t>ih se proizvodi</w:t>
      </w:r>
      <w:r w:rsidR="006854F6">
        <w:rPr>
          <w:lang w:val="hr-HR"/>
        </w:rPr>
        <w:t xml:space="preserve"> električna energija zavise od prirodnih uslova koje nije moguće kontrolisati i da je subjekt koji je nabavlja dužan kupiti električnu energiju </w:t>
      </w:r>
      <w:r w:rsidR="00B8548A">
        <w:rPr>
          <w:lang w:val="hr-HR"/>
        </w:rPr>
        <w:t xml:space="preserve">proizvedenu u naznačenoj elektrani </w:t>
      </w:r>
      <w:r w:rsidR="006854F6">
        <w:rPr>
          <w:lang w:val="hr-HR"/>
        </w:rPr>
        <w:t xml:space="preserve">onda kada se ona proizvede (ugovori prema kojima se kupnja obavlja po proizvodnji). U skladu s tim, subjekt prihvata isporuku promjenjive </w:t>
      </w:r>
      <w:r w:rsidR="00B8548A">
        <w:rPr>
          <w:lang w:val="hr-HR"/>
        </w:rPr>
        <w:t xml:space="preserve">količine </w:t>
      </w:r>
      <w:r w:rsidR="006854F6">
        <w:rPr>
          <w:lang w:val="hr-HR"/>
        </w:rPr>
        <w:t xml:space="preserve">električne energije </w:t>
      </w:r>
      <w:r w:rsidR="00B8548A">
        <w:rPr>
          <w:lang w:val="hr-HR"/>
        </w:rPr>
        <w:t>u više intervala</w:t>
      </w:r>
      <w:r w:rsidR="006854F6">
        <w:rPr>
          <w:lang w:val="hr-HR"/>
        </w:rPr>
        <w:t xml:space="preserve"> isporuke. Ta </w:t>
      </w:r>
      <w:r w:rsidR="00B8548A">
        <w:rPr>
          <w:lang w:val="hr-HR"/>
        </w:rPr>
        <w:t xml:space="preserve">količina </w:t>
      </w:r>
      <w:r w:rsidR="006854F6">
        <w:rPr>
          <w:lang w:val="hr-HR"/>
        </w:rPr>
        <w:t xml:space="preserve">može biti veća ili manja od očekivane jer električna energija dolazi iz izvora koji zavise od uslova u prirodi koje nije moguće kontrolisati. </w:t>
      </w:r>
    </w:p>
    <w:p w14:paraId="44D236B2" w14:textId="5D712165" w:rsidR="00014FB0" w:rsidRPr="00EF5D0A" w:rsidRDefault="00706134">
      <w:pPr>
        <w:pStyle w:val="IASBNormalnpara"/>
        <w:rPr>
          <w:lang w:val="hr-HR"/>
        </w:rPr>
      </w:pPr>
      <w:r>
        <w:rPr>
          <w:lang w:val="hr-HR"/>
        </w:rPr>
        <w:t>SM</w:t>
      </w:r>
      <w:r w:rsidR="002824FC">
        <w:rPr>
          <w:lang w:val="hr-HR"/>
        </w:rPr>
        <w:t>.</w:t>
      </w:r>
      <w:r w:rsidR="001C3CBD" w:rsidRPr="00EF5D0A">
        <w:rPr>
          <w:lang w:val="hr-HR"/>
        </w:rPr>
        <w:t>6</w:t>
      </w:r>
      <w:r w:rsidR="001C3CBD" w:rsidRPr="00EF5D0A">
        <w:rPr>
          <w:lang w:val="hr-HR"/>
        </w:rPr>
        <w:tab/>
      </w:r>
      <w:r w:rsidR="006854F6">
        <w:rPr>
          <w:lang w:val="hr-HR"/>
        </w:rPr>
        <w:t>G</w:t>
      </w:r>
      <w:r w:rsidR="009B5C3E">
        <w:rPr>
          <w:lang w:val="hr-HR"/>
        </w:rPr>
        <w:t>g</w:t>
      </w:r>
      <w:r w:rsidR="006854F6">
        <w:rPr>
          <w:lang w:val="hr-HR"/>
        </w:rPr>
        <w:t xml:space="preserve">. </w:t>
      </w:r>
      <w:r w:rsidR="001C3CBD" w:rsidRPr="00EF5D0A">
        <w:rPr>
          <w:lang w:val="hr-HR"/>
        </w:rPr>
        <w:t xml:space="preserve">Mackenzie </w:t>
      </w:r>
      <w:r w:rsidR="006854F6">
        <w:rPr>
          <w:lang w:val="hr-HR"/>
        </w:rPr>
        <w:t>i</w:t>
      </w:r>
      <w:r w:rsidR="001C3CBD" w:rsidRPr="00EF5D0A">
        <w:rPr>
          <w:lang w:val="hr-HR"/>
        </w:rPr>
        <w:t xml:space="preserve"> Uhl </w:t>
      </w:r>
      <w:r w:rsidR="006854F6">
        <w:rPr>
          <w:lang w:val="hr-HR"/>
        </w:rPr>
        <w:t xml:space="preserve">prihvataju </w:t>
      </w:r>
      <w:r w:rsidR="00943F31">
        <w:rPr>
          <w:lang w:val="hr-HR"/>
        </w:rPr>
        <w:t>činjenicu da bi moglo biti opravdano uvesti dodatna izuzeća od zahtjeva MSFI-ja 9 za situacije kada subjekt nabavljač namjerava utrošiti svu električnu energiju za koju se očekuje da bude proizvedena i isporučena prema ugovoru, ali prirodni uslovi dovedu do toga da stvarna proizvodnja premašuje očekivanju i primora</w:t>
      </w:r>
      <w:r w:rsidR="003249E2">
        <w:rPr>
          <w:lang w:val="hr-HR"/>
        </w:rPr>
        <w:t>ju</w:t>
      </w:r>
      <w:r w:rsidR="00943F31">
        <w:rPr>
          <w:lang w:val="hr-HR"/>
        </w:rPr>
        <w:t xml:space="preserve"> subjekt da proda višak neutrošene električne energije. Oni se, međutim, ne slažu s predmetnim izmjenama i dopunama jer bi se istima dopustilo izuzimanje subjekata od zahtjeva MSFI-ja 9 čak i kada su sa razumnom sigurnošću unaprijed znali da u nekim periodima obuhvaćenim ugovorom (na primjer, tokom konkretnih termina ili datuma) neće utrošiti već prodati električnu energiju koja im je isporučena prema ugovoru.</w:t>
      </w:r>
      <w:r w:rsidR="001C3CBD" w:rsidRPr="00EF5D0A">
        <w:rPr>
          <w:lang w:val="hr-HR"/>
        </w:rPr>
        <w:t xml:space="preserve"> </w:t>
      </w:r>
      <w:r w:rsidR="00984157">
        <w:rPr>
          <w:lang w:val="hr-HR"/>
        </w:rPr>
        <w:t xml:space="preserve">Prema izmjenama i dopunama, subjekti koji su sklopili ugovore </w:t>
      </w:r>
      <w:r w:rsidR="003249E2">
        <w:rPr>
          <w:lang w:val="hr-HR"/>
        </w:rPr>
        <w:t>o</w:t>
      </w:r>
      <w:r w:rsidR="00984157">
        <w:rPr>
          <w:lang w:val="hr-HR"/>
        </w:rPr>
        <w:t xml:space="preserve"> električn</w:t>
      </w:r>
      <w:r w:rsidR="003249E2">
        <w:rPr>
          <w:lang w:val="hr-HR"/>
        </w:rPr>
        <w:t>oj</w:t>
      </w:r>
      <w:r w:rsidR="00984157">
        <w:rPr>
          <w:lang w:val="hr-HR"/>
        </w:rPr>
        <w:t xml:space="preserve"> energij</w:t>
      </w:r>
      <w:r w:rsidR="003249E2">
        <w:rPr>
          <w:lang w:val="hr-HR"/>
        </w:rPr>
        <w:t>i</w:t>
      </w:r>
      <w:r w:rsidR="00984157">
        <w:rPr>
          <w:lang w:val="hr-HR"/>
        </w:rPr>
        <w:t xml:space="preserve"> iz </w:t>
      </w:r>
      <w:r w:rsidR="003249E2">
        <w:rPr>
          <w:lang w:val="hr-HR"/>
        </w:rPr>
        <w:t xml:space="preserve">izvora zavisnih od </w:t>
      </w:r>
      <w:r w:rsidR="00984157">
        <w:rPr>
          <w:lang w:val="hr-HR"/>
        </w:rPr>
        <w:t xml:space="preserve">prirodnih </w:t>
      </w:r>
      <w:r w:rsidR="003249E2">
        <w:rPr>
          <w:lang w:val="hr-HR"/>
        </w:rPr>
        <w:t>uslova</w:t>
      </w:r>
      <w:r w:rsidR="00984157">
        <w:rPr>
          <w:lang w:val="hr-HR"/>
        </w:rPr>
        <w:t xml:space="preserve"> bi imali pravo iskoristiti izuzeće za vlastite potrebe čak i ako su već na početku važenja ugovora znali da će njihova potražnja u određenim periodima biti manja od količina za koje se očekuje da budu isporučene i, prema tome, očekivali da će u tim periodima prodati električnu energiju koja im je isporučena prema ugovoru. Dakle, subjekt bi mogao prodati na tržištu po tržišnoj cijeni električnu energiju za koju je znao da je nikad neće utrošiti, realizujući fer vrijednost tog dijela ugovora, a i dalje imati pravo da iskoristi izuzeće za vlastite potrebe, pod uslovom da je namjeravao kupiti, pretpostavlja se na </w:t>
      </w:r>
      <w:r w:rsidR="00524CC3">
        <w:rPr>
          <w:lang w:val="hr-HR"/>
        </w:rPr>
        <w:t xml:space="preserve">istom </w:t>
      </w:r>
      <w:r w:rsidR="00984157">
        <w:rPr>
          <w:lang w:val="hr-HR"/>
        </w:rPr>
        <w:t xml:space="preserve">tržištu po tržišnim cijenama, jednake količine električne energije. </w:t>
      </w:r>
    </w:p>
    <w:p w14:paraId="4F8935F6" w14:textId="3E895D2C" w:rsidR="00014FB0" w:rsidRPr="00EF5D0A" w:rsidRDefault="00706134">
      <w:pPr>
        <w:pStyle w:val="IASBNormalnpara"/>
        <w:rPr>
          <w:lang w:val="hr-HR"/>
        </w:rPr>
      </w:pPr>
      <w:r>
        <w:rPr>
          <w:lang w:val="hr-HR"/>
        </w:rPr>
        <w:t>SM</w:t>
      </w:r>
      <w:r w:rsidR="002824FC">
        <w:rPr>
          <w:lang w:val="hr-HR"/>
        </w:rPr>
        <w:t>.</w:t>
      </w:r>
      <w:r w:rsidR="001C3CBD" w:rsidRPr="00EF5D0A">
        <w:rPr>
          <w:lang w:val="hr-HR"/>
        </w:rPr>
        <w:t>7</w:t>
      </w:r>
      <w:r w:rsidR="001C3CBD" w:rsidRPr="00EF5D0A">
        <w:rPr>
          <w:lang w:val="hr-HR"/>
        </w:rPr>
        <w:tab/>
      </w:r>
      <w:r w:rsidR="00221DF4">
        <w:rPr>
          <w:lang w:val="hr-HR"/>
        </w:rPr>
        <w:t>G</w:t>
      </w:r>
      <w:r w:rsidR="00524CC3">
        <w:rPr>
          <w:lang w:val="hr-HR"/>
        </w:rPr>
        <w:t xml:space="preserve">g. </w:t>
      </w:r>
      <w:r w:rsidR="001C3CBD" w:rsidRPr="00EF5D0A">
        <w:rPr>
          <w:lang w:val="hr-HR"/>
        </w:rPr>
        <w:t xml:space="preserve">Mackenzie </w:t>
      </w:r>
      <w:r w:rsidR="00221DF4">
        <w:rPr>
          <w:lang w:val="hr-HR"/>
        </w:rPr>
        <w:t>i</w:t>
      </w:r>
      <w:r w:rsidR="001C3CBD" w:rsidRPr="00EF5D0A">
        <w:rPr>
          <w:lang w:val="hr-HR"/>
        </w:rPr>
        <w:t xml:space="preserve"> Uhl </w:t>
      </w:r>
      <w:r w:rsidR="00221DF4">
        <w:rPr>
          <w:lang w:val="hr-HR"/>
        </w:rPr>
        <w:t xml:space="preserve">smatraju da </w:t>
      </w:r>
      <w:r w:rsidR="00984157">
        <w:rPr>
          <w:lang w:val="hr-HR"/>
        </w:rPr>
        <w:t xml:space="preserve">bi takve izmjene i dopune mogle dati informacije koje navode na pogrešne zaključke jer, ako subjekt iskoristi izuzeće za derivatni ugovor, korisnik njegovih finansijskih izvještaja ne bi očekivao da subjekt zna da će u budućnosti realizovati neto izmirenje po fer vrijednosti za bilo koji dio tog ugovora. </w:t>
      </w:r>
    </w:p>
    <w:p w14:paraId="5DE7FC67" w14:textId="4AE5F59F" w:rsidR="00014FB0" w:rsidRPr="00EF5D0A" w:rsidRDefault="00706134">
      <w:pPr>
        <w:pStyle w:val="IASBNormalnpara"/>
        <w:rPr>
          <w:lang w:val="hr-HR"/>
        </w:rPr>
      </w:pPr>
      <w:r>
        <w:rPr>
          <w:lang w:val="hr-HR"/>
        </w:rPr>
        <w:lastRenderedPageBreak/>
        <w:t>SM</w:t>
      </w:r>
      <w:r w:rsidR="002824FC">
        <w:rPr>
          <w:lang w:val="hr-HR"/>
        </w:rPr>
        <w:t>.</w:t>
      </w:r>
      <w:r w:rsidR="001C3CBD" w:rsidRPr="00EF5D0A">
        <w:rPr>
          <w:lang w:val="hr-HR"/>
        </w:rPr>
        <w:t>8</w:t>
      </w:r>
      <w:r w:rsidR="001C3CBD" w:rsidRPr="00EF5D0A">
        <w:rPr>
          <w:lang w:val="hr-HR"/>
        </w:rPr>
        <w:tab/>
      </w:r>
      <w:r w:rsidR="00984157">
        <w:rPr>
          <w:lang w:val="hr-HR"/>
        </w:rPr>
        <w:t>Iz tog razloga, g</w:t>
      </w:r>
      <w:r w:rsidR="001F1E49">
        <w:rPr>
          <w:lang w:val="hr-HR"/>
        </w:rPr>
        <w:t>g.</w:t>
      </w:r>
      <w:r w:rsidR="001C3CBD" w:rsidRPr="00EF5D0A">
        <w:rPr>
          <w:lang w:val="hr-HR"/>
        </w:rPr>
        <w:t xml:space="preserve"> Mackenzie </w:t>
      </w:r>
      <w:r w:rsidR="00221DF4">
        <w:rPr>
          <w:lang w:val="hr-HR"/>
        </w:rPr>
        <w:t>i</w:t>
      </w:r>
      <w:r w:rsidR="001C3CBD" w:rsidRPr="00EF5D0A">
        <w:rPr>
          <w:lang w:val="hr-HR"/>
        </w:rPr>
        <w:t xml:space="preserve"> Uhl </w:t>
      </w:r>
      <w:r w:rsidR="00984157">
        <w:rPr>
          <w:lang w:val="hr-HR"/>
        </w:rPr>
        <w:t xml:space="preserve">su bili stava da bi dalja izuzeća u odnosu na ugovore </w:t>
      </w:r>
      <w:r w:rsidR="001F1E49">
        <w:rPr>
          <w:lang w:val="hr-HR"/>
        </w:rPr>
        <w:t xml:space="preserve">o </w:t>
      </w:r>
      <w:r w:rsidR="00984157">
        <w:rPr>
          <w:lang w:val="hr-HR"/>
        </w:rPr>
        <w:t>električn</w:t>
      </w:r>
      <w:r w:rsidR="001F1E49">
        <w:rPr>
          <w:lang w:val="hr-HR"/>
        </w:rPr>
        <w:t>oj</w:t>
      </w:r>
      <w:r w:rsidR="00984157">
        <w:rPr>
          <w:lang w:val="hr-HR"/>
        </w:rPr>
        <w:t xml:space="preserve"> energij</w:t>
      </w:r>
      <w:r w:rsidR="001F1E49">
        <w:rPr>
          <w:lang w:val="hr-HR"/>
        </w:rPr>
        <w:t>i</w:t>
      </w:r>
      <w:r w:rsidR="00984157">
        <w:rPr>
          <w:lang w:val="hr-HR"/>
        </w:rPr>
        <w:t xml:space="preserve"> iz </w:t>
      </w:r>
      <w:r w:rsidR="001F1E49">
        <w:rPr>
          <w:lang w:val="hr-HR"/>
        </w:rPr>
        <w:t xml:space="preserve">izvora zavisnih od </w:t>
      </w:r>
      <w:r w:rsidR="00984157">
        <w:rPr>
          <w:lang w:val="hr-HR"/>
        </w:rPr>
        <w:t xml:space="preserve">prirodnih </w:t>
      </w:r>
      <w:r w:rsidR="001F1E49">
        <w:rPr>
          <w:lang w:val="hr-HR"/>
        </w:rPr>
        <w:t xml:space="preserve">uslova </w:t>
      </w:r>
      <w:r w:rsidR="00984157">
        <w:rPr>
          <w:lang w:val="hr-HR"/>
        </w:rPr>
        <w:t xml:space="preserve">vodila manje strogom obračunavanju drugih ugovora o električnoj energiji i ugovora za druge nefinansijske stavke i time bi se otvorilo pitanje obračunavanja tih drugih vrsta ugovora. Da bi se zadržao vjeran prikaz, računovodstveno postupanje mora biti neutralno. </w:t>
      </w:r>
    </w:p>
    <w:p w14:paraId="27CAD3AF" w14:textId="49D66C1E" w:rsidR="00014FB0" w:rsidRPr="00EF5D0A" w:rsidRDefault="00706134">
      <w:pPr>
        <w:pStyle w:val="IASBNormalnpara"/>
        <w:rPr>
          <w:lang w:val="hr-HR"/>
        </w:rPr>
      </w:pPr>
      <w:r>
        <w:rPr>
          <w:lang w:val="hr-HR"/>
        </w:rPr>
        <w:t>SM</w:t>
      </w:r>
      <w:r w:rsidR="002824FC">
        <w:rPr>
          <w:lang w:val="hr-HR"/>
        </w:rPr>
        <w:t>.</w:t>
      </w:r>
      <w:r w:rsidR="001C3CBD" w:rsidRPr="00EF5D0A">
        <w:rPr>
          <w:lang w:val="hr-HR"/>
        </w:rPr>
        <w:t>9</w:t>
      </w:r>
      <w:r w:rsidR="001C3CBD" w:rsidRPr="00EF5D0A">
        <w:rPr>
          <w:lang w:val="hr-HR"/>
        </w:rPr>
        <w:tab/>
      </w:r>
      <w:r w:rsidR="0016298B">
        <w:rPr>
          <w:lang w:val="hr-HR"/>
        </w:rPr>
        <w:t xml:space="preserve">Pojedini dionici su tvrdili da promjene fer vrijednosti priznate u izvještaju o finansijskim rezultatima subjekta u odnosu na ugovore </w:t>
      </w:r>
      <w:r w:rsidR="00856A63">
        <w:rPr>
          <w:lang w:val="hr-HR"/>
        </w:rPr>
        <w:t xml:space="preserve">o </w:t>
      </w:r>
      <w:r w:rsidR="0016298B">
        <w:rPr>
          <w:lang w:val="hr-HR"/>
        </w:rPr>
        <w:t>električn</w:t>
      </w:r>
      <w:r w:rsidR="00856A63">
        <w:rPr>
          <w:lang w:val="hr-HR"/>
        </w:rPr>
        <w:t>oj</w:t>
      </w:r>
      <w:r w:rsidR="0016298B">
        <w:rPr>
          <w:lang w:val="hr-HR"/>
        </w:rPr>
        <w:t xml:space="preserve"> energij</w:t>
      </w:r>
      <w:r w:rsidR="00856A63">
        <w:rPr>
          <w:lang w:val="hr-HR"/>
        </w:rPr>
        <w:t>i</w:t>
      </w:r>
      <w:r w:rsidR="0016298B">
        <w:rPr>
          <w:lang w:val="hr-HR"/>
        </w:rPr>
        <w:t xml:space="preserve"> iz </w:t>
      </w:r>
      <w:r w:rsidR="00856A63">
        <w:rPr>
          <w:lang w:val="hr-HR"/>
        </w:rPr>
        <w:t xml:space="preserve">izvora zavisnih od </w:t>
      </w:r>
      <w:r w:rsidR="0016298B">
        <w:rPr>
          <w:lang w:val="hr-HR"/>
        </w:rPr>
        <w:t xml:space="preserve">prirodnih </w:t>
      </w:r>
      <w:r w:rsidR="00856A63">
        <w:rPr>
          <w:lang w:val="hr-HR"/>
        </w:rPr>
        <w:t>uslova</w:t>
      </w:r>
      <w:r w:rsidR="0016298B">
        <w:rPr>
          <w:lang w:val="hr-HR"/>
        </w:rPr>
        <w:t xml:space="preserve"> ne pružaju korisne informacije. Slične tvrdnje su iznošene i ranije u vezi s drugim derivatnim ugovorima. G</w:t>
      </w:r>
      <w:r w:rsidR="00856A63">
        <w:rPr>
          <w:lang w:val="hr-HR"/>
        </w:rPr>
        <w:t>g</w:t>
      </w:r>
      <w:r w:rsidR="0016298B">
        <w:rPr>
          <w:lang w:val="hr-HR"/>
        </w:rPr>
        <w:t>.</w:t>
      </w:r>
      <w:r w:rsidR="001C3CBD" w:rsidRPr="00EF5D0A">
        <w:rPr>
          <w:lang w:val="hr-HR"/>
        </w:rPr>
        <w:t xml:space="preserve"> Mackenzie </w:t>
      </w:r>
      <w:r w:rsidR="0016298B">
        <w:rPr>
          <w:lang w:val="hr-HR"/>
        </w:rPr>
        <w:t>i</w:t>
      </w:r>
      <w:r w:rsidR="001C3CBD" w:rsidRPr="00EF5D0A">
        <w:rPr>
          <w:lang w:val="hr-HR"/>
        </w:rPr>
        <w:t xml:space="preserve"> Uhl </w:t>
      </w:r>
      <w:r w:rsidR="0016298B">
        <w:rPr>
          <w:lang w:val="hr-HR"/>
        </w:rPr>
        <w:t>se ne slažu s odobravanjem izuzeća od odredbi MSFI-ja</w:t>
      </w:r>
      <w:r w:rsidR="001C3CBD" w:rsidRPr="00EF5D0A">
        <w:rPr>
          <w:lang w:val="hr-HR"/>
        </w:rPr>
        <w:t xml:space="preserve"> 9 </w:t>
      </w:r>
      <w:r w:rsidR="0016298B">
        <w:rPr>
          <w:lang w:val="hr-HR"/>
        </w:rPr>
        <w:t xml:space="preserve">za situacije kada je subjektu poznato da će pojedine dijelove ugovora izmiriti u neto iznosu. </w:t>
      </w:r>
      <w:r w:rsidR="00856A63">
        <w:rPr>
          <w:lang w:val="hr-HR"/>
        </w:rPr>
        <w:t>Ako</w:t>
      </w:r>
      <w:r w:rsidR="0016298B">
        <w:rPr>
          <w:lang w:val="hr-HR"/>
        </w:rPr>
        <w:t xml:space="preserve"> je</w:t>
      </w:r>
      <w:r w:rsidR="00856A63">
        <w:rPr>
          <w:lang w:val="hr-HR"/>
        </w:rPr>
        <w:t>, međutim,</w:t>
      </w:r>
      <w:r w:rsidR="0016298B">
        <w:rPr>
          <w:lang w:val="hr-HR"/>
        </w:rPr>
        <w:t xml:space="preserve"> </w:t>
      </w:r>
      <w:r w:rsidR="001C3CBD" w:rsidRPr="0016298B">
        <w:rPr>
          <w:i/>
          <w:iCs/>
          <w:lang w:val="hr-HR"/>
        </w:rPr>
        <w:t>IASB</w:t>
      </w:r>
      <w:r w:rsidR="001C3CBD" w:rsidRPr="00EF5D0A">
        <w:rPr>
          <w:lang w:val="hr-HR"/>
        </w:rPr>
        <w:t xml:space="preserve"> </w:t>
      </w:r>
      <w:r w:rsidR="00856A63">
        <w:rPr>
          <w:lang w:val="hr-HR"/>
        </w:rPr>
        <w:t>zaključio</w:t>
      </w:r>
      <w:r w:rsidR="0016298B">
        <w:rPr>
          <w:lang w:val="hr-HR"/>
        </w:rPr>
        <w:t xml:space="preserve"> da trenutni način obračunavanja za određene ugovore ne daje informacije koje su korisne za donošenje odluka, g</w:t>
      </w:r>
      <w:r w:rsidR="00856A63">
        <w:rPr>
          <w:lang w:val="hr-HR"/>
        </w:rPr>
        <w:t>g</w:t>
      </w:r>
      <w:r w:rsidR="0016298B">
        <w:rPr>
          <w:lang w:val="hr-HR"/>
        </w:rPr>
        <w:t xml:space="preserve">. </w:t>
      </w:r>
      <w:r w:rsidR="001C3CBD" w:rsidRPr="00EF5D0A">
        <w:rPr>
          <w:lang w:val="hr-HR"/>
        </w:rPr>
        <w:t xml:space="preserve">Mackenzie </w:t>
      </w:r>
      <w:r w:rsidR="0016298B">
        <w:rPr>
          <w:lang w:val="hr-HR"/>
        </w:rPr>
        <w:t xml:space="preserve">i </w:t>
      </w:r>
      <w:r w:rsidR="001C3CBD" w:rsidRPr="00EF5D0A">
        <w:rPr>
          <w:lang w:val="hr-HR"/>
        </w:rPr>
        <w:t xml:space="preserve">Uhl </w:t>
      </w:r>
      <w:r w:rsidR="0016298B">
        <w:rPr>
          <w:lang w:val="hr-HR"/>
        </w:rPr>
        <w:t xml:space="preserve">sugerišu da </w:t>
      </w:r>
      <w:r w:rsidR="00E67C0D">
        <w:rPr>
          <w:lang w:val="hr-HR"/>
        </w:rPr>
        <w:t xml:space="preserve">bi taj nedostatak trebalo osloviti kroz prezentaciju. </w:t>
      </w:r>
    </w:p>
    <w:p w14:paraId="2B27B95E" w14:textId="41E1CDF2" w:rsidR="00014FB0" w:rsidRPr="00EF5D0A" w:rsidRDefault="00706134">
      <w:pPr>
        <w:pStyle w:val="IASBNormalnpara"/>
        <w:rPr>
          <w:lang w:val="hr-HR"/>
        </w:rPr>
      </w:pPr>
      <w:r>
        <w:rPr>
          <w:lang w:val="hr-HR"/>
        </w:rPr>
        <w:t>SM</w:t>
      </w:r>
      <w:r w:rsidR="002824FC">
        <w:rPr>
          <w:lang w:val="hr-HR"/>
        </w:rPr>
        <w:t>.</w:t>
      </w:r>
      <w:r w:rsidR="001C3CBD" w:rsidRPr="00EF5D0A">
        <w:rPr>
          <w:lang w:val="hr-HR"/>
        </w:rPr>
        <w:t>10</w:t>
      </w:r>
      <w:r w:rsidR="001C3CBD" w:rsidRPr="00EF5D0A">
        <w:rPr>
          <w:lang w:val="hr-HR"/>
        </w:rPr>
        <w:tab/>
      </w:r>
      <w:r w:rsidR="00E67C0D">
        <w:rPr>
          <w:lang w:val="hr-HR"/>
        </w:rPr>
        <w:t xml:space="preserve">Pored navedenog, g. </w:t>
      </w:r>
      <w:r w:rsidR="001C3CBD" w:rsidRPr="00EF5D0A">
        <w:rPr>
          <w:lang w:val="hr-HR"/>
        </w:rPr>
        <w:t xml:space="preserve">Mackenzie </w:t>
      </w:r>
      <w:r w:rsidR="00E67C0D">
        <w:rPr>
          <w:lang w:val="hr-HR"/>
        </w:rPr>
        <w:t xml:space="preserve">se ne slaže ni s izmjenama i dopunama u vezi sa računovodstvom zaštite od rizika. On smatra da </w:t>
      </w:r>
      <w:r w:rsidR="00856A63">
        <w:rPr>
          <w:lang w:val="hr-HR"/>
        </w:rPr>
        <w:t xml:space="preserve">obračunavanje </w:t>
      </w:r>
      <w:r w:rsidR="00E67C0D">
        <w:rPr>
          <w:lang w:val="hr-HR"/>
        </w:rPr>
        <w:t xml:space="preserve">zaštite novčanog toka u skladu sa MSFI-jem 9 funkcioniše kako je zamišljeno i ta tvrdnja će uskoro biti predmet provjere nakon primjene standarda. Tokom godina, dionici su uputili više zahtjeva </w:t>
      </w:r>
      <w:r w:rsidR="00E67C0D" w:rsidRPr="00E67C0D">
        <w:rPr>
          <w:i/>
          <w:iCs/>
          <w:lang w:val="hr-HR"/>
        </w:rPr>
        <w:t>IASB</w:t>
      </w:r>
      <w:r w:rsidR="00E67C0D">
        <w:rPr>
          <w:lang w:val="hr-HR"/>
        </w:rPr>
        <w:t>-u da se pozabavi pitanjem o</w:t>
      </w:r>
      <w:r w:rsidR="00856A63">
        <w:rPr>
          <w:lang w:val="hr-HR"/>
        </w:rPr>
        <w:t>dređivanja</w:t>
      </w:r>
      <w:r w:rsidR="00E67C0D">
        <w:rPr>
          <w:lang w:val="hr-HR"/>
        </w:rPr>
        <w:t xml:space="preserve"> promjenjiv</w:t>
      </w:r>
      <w:r w:rsidR="00856A63">
        <w:rPr>
          <w:lang w:val="hr-HR"/>
        </w:rPr>
        <w:t>e</w:t>
      </w:r>
      <w:r w:rsidR="00E67C0D">
        <w:rPr>
          <w:lang w:val="hr-HR"/>
        </w:rPr>
        <w:t xml:space="preserve"> nominaln</w:t>
      </w:r>
      <w:r w:rsidR="00856A63">
        <w:rPr>
          <w:lang w:val="hr-HR"/>
        </w:rPr>
        <w:t>e</w:t>
      </w:r>
      <w:r w:rsidR="00E67C0D">
        <w:rPr>
          <w:lang w:val="hr-HR"/>
        </w:rPr>
        <w:t xml:space="preserve"> </w:t>
      </w:r>
      <w:r w:rsidR="00856A63">
        <w:rPr>
          <w:lang w:val="hr-HR"/>
        </w:rPr>
        <w:t>vrijednosti</w:t>
      </w:r>
      <w:r w:rsidR="00E67C0D">
        <w:rPr>
          <w:lang w:val="hr-HR"/>
        </w:rPr>
        <w:t xml:space="preserve"> u odnos zaštite novčanog toka, ali se </w:t>
      </w:r>
      <w:r w:rsidR="00E67C0D" w:rsidRPr="00E67C0D">
        <w:rPr>
          <w:i/>
          <w:iCs/>
          <w:lang w:val="hr-HR"/>
        </w:rPr>
        <w:t>IASB</w:t>
      </w:r>
      <w:r w:rsidR="00E67C0D">
        <w:rPr>
          <w:lang w:val="hr-HR"/>
        </w:rPr>
        <w:t xml:space="preserve"> odlučio da ne pokreće dati projekat. Čak ni nakon prelaska sa MRS-a 39 na MSFI 9, </w:t>
      </w:r>
      <w:r w:rsidR="001C3CBD" w:rsidRPr="00E67C0D">
        <w:rPr>
          <w:i/>
          <w:iCs/>
          <w:lang w:val="hr-HR"/>
        </w:rPr>
        <w:t>IASB</w:t>
      </w:r>
      <w:r w:rsidR="001C3CBD" w:rsidRPr="00EF5D0A">
        <w:rPr>
          <w:lang w:val="hr-HR"/>
        </w:rPr>
        <w:t xml:space="preserve"> </w:t>
      </w:r>
      <w:r w:rsidR="00D9417C">
        <w:rPr>
          <w:lang w:val="hr-HR"/>
        </w:rPr>
        <w:t xml:space="preserve">nije prekinuo zabranu </w:t>
      </w:r>
      <w:r w:rsidR="00856A63">
        <w:rPr>
          <w:lang w:val="hr-HR"/>
        </w:rPr>
        <w:t>određivanja</w:t>
      </w:r>
      <w:r w:rsidR="00D9417C">
        <w:rPr>
          <w:lang w:val="hr-HR"/>
        </w:rPr>
        <w:t xml:space="preserve"> promjenjivih nominalnih </w:t>
      </w:r>
      <w:r w:rsidR="00856A63">
        <w:rPr>
          <w:lang w:val="hr-HR"/>
        </w:rPr>
        <w:t>vrijednosti</w:t>
      </w:r>
      <w:r w:rsidR="00D9417C">
        <w:rPr>
          <w:lang w:val="hr-HR"/>
        </w:rPr>
        <w:t xml:space="preserve"> u odnos zaštite, tako pokazujući da t</w:t>
      </w:r>
      <w:r w:rsidR="00856A63">
        <w:rPr>
          <w:lang w:val="hr-HR"/>
        </w:rPr>
        <w:t>u</w:t>
      </w:r>
      <w:r w:rsidR="00D9417C">
        <w:rPr>
          <w:lang w:val="hr-HR"/>
        </w:rPr>
        <w:t xml:space="preserve"> promjenu nije smatrao opravdanom. Izmjene i dopune MSFI-ja </w:t>
      </w:r>
      <w:r w:rsidR="001C3CBD" w:rsidRPr="00EF5D0A">
        <w:rPr>
          <w:lang w:val="hr-HR"/>
        </w:rPr>
        <w:t xml:space="preserve">9 </w:t>
      </w:r>
      <w:r w:rsidR="00D9417C">
        <w:rPr>
          <w:lang w:val="hr-HR"/>
        </w:rPr>
        <w:t xml:space="preserve">će se primjenjivati samo na ograničenu podkategoriju ugovora </w:t>
      </w:r>
      <w:r w:rsidR="00856A63">
        <w:rPr>
          <w:lang w:val="hr-HR"/>
        </w:rPr>
        <w:t>o</w:t>
      </w:r>
      <w:r w:rsidR="00D9417C">
        <w:rPr>
          <w:lang w:val="hr-HR"/>
        </w:rPr>
        <w:t xml:space="preserve"> električn</w:t>
      </w:r>
      <w:r w:rsidR="00856A63">
        <w:rPr>
          <w:lang w:val="hr-HR"/>
        </w:rPr>
        <w:t>oj</w:t>
      </w:r>
      <w:r w:rsidR="00D9417C">
        <w:rPr>
          <w:lang w:val="hr-HR"/>
        </w:rPr>
        <w:t xml:space="preserve"> energij</w:t>
      </w:r>
      <w:r w:rsidR="00856A63">
        <w:rPr>
          <w:lang w:val="hr-HR"/>
        </w:rPr>
        <w:t>i</w:t>
      </w:r>
      <w:r w:rsidR="00D9417C">
        <w:rPr>
          <w:lang w:val="hr-HR"/>
        </w:rPr>
        <w:t xml:space="preserve"> iz </w:t>
      </w:r>
      <w:r w:rsidR="00856A63">
        <w:rPr>
          <w:lang w:val="hr-HR"/>
        </w:rPr>
        <w:t xml:space="preserve">izvora zavisnih od </w:t>
      </w:r>
      <w:r w:rsidR="00D9417C">
        <w:rPr>
          <w:lang w:val="hr-HR"/>
        </w:rPr>
        <w:t xml:space="preserve">prirodnih </w:t>
      </w:r>
      <w:r w:rsidR="00856A63">
        <w:rPr>
          <w:lang w:val="hr-HR"/>
        </w:rPr>
        <w:t>uslova</w:t>
      </w:r>
      <w:r w:rsidR="00D9417C">
        <w:rPr>
          <w:lang w:val="hr-HR"/>
        </w:rPr>
        <w:t xml:space="preserve"> i one će uvesti novu verziju zaštite novčanog toka samo za jednu konkretnu vrstu ugovora, što, prema njegovom mišljenju, ne može biti opravdano. </w:t>
      </w:r>
    </w:p>
    <w:p w14:paraId="2DFF07FE" w14:textId="78AA7D23" w:rsidR="00014FB0" w:rsidRPr="00EF5D0A" w:rsidRDefault="00706134">
      <w:pPr>
        <w:pStyle w:val="IASBNormalnpara"/>
        <w:rPr>
          <w:lang w:val="hr-HR"/>
        </w:rPr>
      </w:pPr>
      <w:r>
        <w:rPr>
          <w:lang w:val="hr-HR"/>
        </w:rPr>
        <w:t>SM</w:t>
      </w:r>
      <w:r w:rsidR="002824FC">
        <w:rPr>
          <w:lang w:val="hr-HR"/>
        </w:rPr>
        <w:t>.</w:t>
      </w:r>
      <w:r w:rsidR="001C3CBD" w:rsidRPr="00EF5D0A">
        <w:rPr>
          <w:lang w:val="hr-HR"/>
        </w:rPr>
        <w:t>11</w:t>
      </w:r>
      <w:r w:rsidR="001C3CBD" w:rsidRPr="00EF5D0A">
        <w:rPr>
          <w:lang w:val="hr-HR"/>
        </w:rPr>
        <w:tab/>
      </w:r>
      <w:r w:rsidR="00D9417C">
        <w:rPr>
          <w:lang w:val="hr-HR"/>
        </w:rPr>
        <w:t xml:space="preserve">G. </w:t>
      </w:r>
      <w:r w:rsidR="001C3CBD" w:rsidRPr="00EF5D0A">
        <w:rPr>
          <w:lang w:val="hr-HR"/>
        </w:rPr>
        <w:t xml:space="preserve">Mackenzie </w:t>
      </w:r>
      <w:r w:rsidR="00D9417C">
        <w:rPr>
          <w:lang w:val="hr-HR"/>
        </w:rPr>
        <w:t>ne smatra da postoji bilo kakav principijelan razlog zašto bi se subjektima trebalo dopustiti da o</w:t>
      </w:r>
      <w:r w:rsidR="00B21987">
        <w:rPr>
          <w:lang w:val="hr-HR"/>
        </w:rPr>
        <w:t>dređuju</w:t>
      </w:r>
      <w:r w:rsidR="00D9417C">
        <w:rPr>
          <w:lang w:val="hr-HR"/>
        </w:rPr>
        <w:t xml:space="preserve"> promjenjive nominalne </w:t>
      </w:r>
      <w:r w:rsidR="00B21987">
        <w:rPr>
          <w:lang w:val="hr-HR"/>
        </w:rPr>
        <w:t>vrijednosti</w:t>
      </w:r>
      <w:r w:rsidR="00D9417C">
        <w:rPr>
          <w:lang w:val="hr-HR"/>
        </w:rPr>
        <w:t xml:space="preserve"> za predmetne, ali ne i za druge ugovore sličnih ekonomskih karakteristika. Prema njegovom mišljenju, </w:t>
      </w:r>
      <w:r w:rsidR="00DF65E9">
        <w:rPr>
          <w:lang w:val="hr-HR"/>
        </w:rPr>
        <w:t xml:space="preserve">ugovori </w:t>
      </w:r>
      <w:r w:rsidR="00B21987">
        <w:rPr>
          <w:lang w:val="hr-HR"/>
        </w:rPr>
        <w:t>o</w:t>
      </w:r>
      <w:r w:rsidR="00DF65E9">
        <w:rPr>
          <w:lang w:val="hr-HR"/>
        </w:rPr>
        <w:t xml:space="preserve"> električn</w:t>
      </w:r>
      <w:r w:rsidR="00B21987">
        <w:rPr>
          <w:lang w:val="hr-HR"/>
        </w:rPr>
        <w:t>oj</w:t>
      </w:r>
      <w:r w:rsidR="00DF65E9">
        <w:rPr>
          <w:lang w:val="hr-HR"/>
        </w:rPr>
        <w:t xml:space="preserve"> energij</w:t>
      </w:r>
      <w:r w:rsidR="00B21987">
        <w:rPr>
          <w:lang w:val="hr-HR"/>
        </w:rPr>
        <w:t>i</w:t>
      </w:r>
      <w:r w:rsidR="00DF65E9">
        <w:rPr>
          <w:lang w:val="hr-HR"/>
        </w:rPr>
        <w:t xml:space="preserve"> iz izvora zavisnih od prirodnih uslova</w:t>
      </w:r>
      <w:r w:rsidR="00D9417C">
        <w:rPr>
          <w:lang w:val="hr-HR"/>
        </w:rPr>
        <w:t xml:space="preserve"> </w:t>
      </w:r>
      <w:r w:rsidR="005270B1">
        <w:rPr>
          <w:lang w:val="hr-HR"/>
        </w:rPr>
        <w:t xml:space="preserve">nemaju nikakvih jedinstvenih obilježja koja bi opravdala tako drastične amandmane. G. </w:t>
      </w:r>
      <w:r w:rsidR="001C3CBD" w:rsidRPr="00EF5D0A">
        <w:rPr>
          <w:lang w:val="hr-HR"/>
        </w:rPr>
        <w:t xml:space="preserve">Mackenzie </w:t>
      </w:r>
      <w:r w:rsidR="00B21987">
        <w:rPr>
          <w:lang w:val="hr-HR"/>
        </w:rPr>
        <w:t>argumentuje</w:t>
      </w:r>
      <w:r w:rsidR="005270B1">
        <w:rPr>
          <w:lang w:val="hr-HR"/>
        </w:rPr>
        <w:t xml:space="preserve"> da, ako je </w:t>
      </w:r>
      <w:r w:rsidR="001C3CBD" w:rsidRPr="005270B1">
        <w:rPr>
          <w:i/>
          <w:iCs/>
          <w:lang w:val="hr-HR"/>
        </w:rPr>
        <w:t>IASB</w:t>
      </w:r>
      <w:r w:rsidR="001C3CBD" w:rsidRPr="00EF5D0A">
        <w:rPr>
          <w:lang w:val="hr-HR"/>
        </w:rPr>
        <w:t xml:space="preserve"> </w:t>
      </w:r>
      <w:r w:rsidR="005270B1">
        <w:rPr>
          <w:lang w:val="hr-HR"/>
        </w:rPr>
        <w:t xml:space="preserve">smatrao tako drastičnu promjenu neophodnom, trebao je posegnuti za sveobuhvatnijim izmjenama i promjenama MSFI-ja 9 koje bi </w:t>
      </w:r>
      <w:r w:rsidR="00B21987">
        <w:rPr>
          <w:lang w:val="hr-HR"/>
        </w:rPr>
        <w:t xml:space="preserve">se odrazile </w:t>
      </w:r>
      <w:r w:rsidR="005270B1">
        <w:rPr>
          <w:lang w:val="hr-HR"/>
        </w:rPr>
        <w:t xml:space="preserve">na sve odnose zaštite novčanih tokova a ne samo one koji uključuju ugovore </w:t>
      </w:r>
      <w:r w:rsidR="00B21987">
        <w:rPr>
          <w:lang w:val="hr-HR"/>
        </w:rPr>
        <w:t xml:space="preserve">o </w:t>
      </w:r>
      <w:r w:rsidR="005270B1">
        <w:rPr>
          <w:lang w:val="hr-HR"/>
        </w:rPr>
        <w:t>električn</w:t>
      </w:r>
      <w:r w:rsidR="00B21987">
        <w:rPr>
          <w:lang w:val="hr-HR"/>
        </w:rPr>
        <w:t>oj</w:t>
      </w:r>
      <w:r w:rsidR="005270B1">
        <w:rPr>
          <w:lang w:val="hr-HR"/>
        </w:rPr>
        <w:t xml:space="preserve"> energij</w:t>
      </w:r>
      <w:r w:rsidR="00B21987">
        <w:rPr>
          <w:lang w:val="hr-HR"/>
        </w:rPr>
        <w:t>i</w:t>
      </w:r>
      <w:r w:rsidR="005270B1">
        <w:rPr>
          <w:lang w:val="hr-HR"/>
        </w:rPr>
        <w:t xml:space="preserve"> iz </w:t>
      </w:r>
      <w:r w:rsidR="00B21987">
        <w:rPr>
          <w:lang w:val="hr-HR"/>
        </w:rPr>
        <w:t xml:space="preserve">izvora zavisnih od </w:t>
      </w:r>
      <w:r w:rsidR="005270B1">
        <w:rPr>
          <w:lang w:val="hr-HR"/>
        </w:rPr>
        <w:t xml:space="preserve">prirodnih </w:t>
      </w:r>
      <w:r w:rsidR="00B21987">
        <w:rPr>
          <w:lang w:val="hr-HR"/>
        </w:rPr>
        <w:t>uslova</w:t>
      </w:r>
      <w:r w:rsidR="005270B1">
        <w:rPr>
          <w:lang w:val="hr-HR"/>
        </w:rPr>
        <w:t xml:space="preserve">. </w:t>
      </w:r>
    </w:p>
    <w:p w14:paraId="2BE261A2" w14:textId="77777777" w:rsidR="00014FB0" w:rsidRPr="00EF5D0A" w:rsidRDefault="00014FB0">
      <w:pPr>
        <w:pStyle w:val="SectionEnd"/>
        <w:rPr>
          <w:lang w:val="hr-HR"/>
        </w:rPr>
        <w:sectPr w:rsidR="00014FB0" w:rsidRPr="00EF5D0A">
          <w:headerReference w:type="even" r:id="rId46"/>
          <w:headerReference w:type="default" r:id="rId47"/>
          <w:footerReference w:type="even" r:id="rId48"/>
          <w:footerReference w:type="default" r:id="rId49"/>
          <w:pgSz w:w="11895" w:h="16834"/>
          <w:pgMar w:top="1440" w:right="1440" w:bottom="1440" w:left="1440" w:header="720" w:footer="720" w:gutter="0"/>
          <w:cols w:space="720"/>
        </w:sectPr>
      </w:pPr>
    </w:p>
    <w:p w14:paraId="26C84CD5" w14:textId="7C78BDFC" w:rsidR="00014FB0" w:rsidRPr="00EF5D0A" w:rsidRDefault="00135517" w:rsidP="007F50EE">
      <w:pPr>
        <w:pStyle w:val="IASBSectionTitle2NonInd"/>
        <w:spacing w:before="0"/>
        <w:rPr>
          <w:lang w:val="hr-HR"/>
        </w:rPr>
      </w:pPr>
      <w:bookmarkStart w:id="54" w:name="unique_12"/>
      <w:r>
        <w:rPr>
          <w:lang w:val="hr-HR"/>
        </w:rPr>
        <w:lastRenderedPageBreak/>
        <w:t xml:space="preserve">Izmjene i dopune Osnova za donošenje zaključaka </w:t>
      </w:r>
      <w:r w:rsidR="007371BA">
        <w:rPr>
          <w:lang w:val="hr-HR"/>
        </w:rPr>
        <w:t>za</w:t>
      </w:r>
      <w:r>
        <w:rPr>
          <w:lang w:val="hr-HR"/>
        </w:rPr>
        <w:t xml:space="preserve"> MSFI</w:t>
      </w:r>
      <w:r w:rsidR="001C3CBD" w:rsidRPr="00EF5D0A">
        <w:rPr>
          <w:lang w:val="hr-HR"/>
        </w:rPr>
        <w:t xml:space="preserve"> 7 </w:t>
      </w:r>
      <w:r w:rsidR="001C3CBD" w:rsidRPr="00EF5D0A">
        <w:rPr>
          <w:i/>
          <w:lang w:val="hr-HR"/>
        </w:rPr>
        <w:t>F</w:t>
      </w:r>
      <w:r>
        <w:rPr>
          <w:i/>
          <w:lang w:val="hr-HR"/>
        </w:rPr>
        <w:t xml:space="preserve">inancijski instrumenti: Objavljivanja </w:t>
      </w:r>
      <w:bookmarkEnd w:id="54"/>
    </w:p>
    <w:p w14:paraId="6D385E12" w14:textId="77777777" w:rsidR="00014FB0" w:rsidRPr="007F50EE" w:rsidRDefault="00014FB0">
      <w:pPr>
        <w:pStyle w:val="IASBNormalnpara"/>
        <w:rPr>
          <w:sz w:val="14"/>
          <w:szCs w:val="14"/>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014FB0" w:rsidRPr="00EE2662" w14:paraId="4019DA6F" w14:textId="77777777">
        <w:tc>
          <w:tcPr>
            <w:tcW w:w="50" w:type="pct"/>
            <w:tcBorders>
              <w:bottom w:val="single" w:sz="0" w:space="0" w:color="auto"/>
              <w:right w:val="single" w:sz="0" w:space="0" w:color="auto"/>
            </w:tcBorders>
          </w:tcPr>
          <w:p w14:paraId="267DB873" w14:textId="477A1B3F" w:rsidR="00014FB0" w:rsidRPr="00EF5D0A" w:rsidRDefault="00135517">
            <w:pPr>
              <w:pStyle w:val="IASBTableArial"/>
              <w:rPr>
                <w:lang w:val="hr-HR"/>
              </w:rPr>
            </w:pPr>
            <w:r>
              <w:rPr>
                <w:lang w:val="hr-HR"/>
              </w:rPr>
              <w:t>Uvedene su tačke od OZ</w:t>
            </w:r>
            <w:r w:rsidR="00EE2662">
              <w:rPr>
                <w:lang w:val="hr-HR"/>
              </w:rPr>
              <w:t>.</w:t>
            </w:r>
            <w:r w:rsidR="001C3CBD" w:rsidRPr="00EF5D0A">
              <w:rPr>
                <w:lang w:val="hr-HR"/>
              </w:rPr>
              <w:t>39I</w:t>
            </w:r>
            <w:r>
              <w:rPr>
                <w:lang w:val="hr-HR"/>
              </w:rPr>
              <w:t xml:space="preserve"> do OZ</w:t>
            </w:r>
            <w:r w:rsidR="00EE2662">
              <w:rPr>
                <w:lang w:val="hr-HR"/>
              </w:rPr>
              <w:t>.</w:t>
            </w:r>
            <w:r w:rsidR="001C3CBD" w:rsidRPr="00EF5D0A">
              <w:rPr>
                <w:lang w:val="hr-HR"/>
              </w:rPr>
              <w:t xml:space="preserve">39S </w:t>
            </w:r>
            <w:r>
              <w:rPr>
                <w:lang w:val="hr-HR"/>
              </w:rPr>
              <w:t xml:space="preserve">s pripadajućim podnaslovima. Zbog </w:t>
            </w:r>
            <w:r w:rsidR="00EE2662">
              <w:rPr>
                <w:lang w:val="hr-HR"/>
              </w:rPr>
              <w:t>bolje</w:t>
            </w:r>
            <w:r>
              <w:rPr>
                <w:lang w:val="hr-HR"/>
              </w:rPr>
              <w:t xml:space="preserve"> preglednosti, ni te tačke ni podnaslovi nisu podvučeni ovdje. </w:t>
            </w:r>
            <w:r w:rsidR="00EE2662">
              <w:rPr>
                <w:lang w:val="hr-HR"/>
              </w:rPr>
              <w:t>Ostali</w:t>
            </w:r>
            <w:r>
              <w:rPr>
                <w:lang w:val="hr-HR"/>
              </w:rPr>
              <w:t xml:space="preserve"> novi tekst je podvučen. </w:t>
            </w:r>
          </w:p>
        </w:tc>
      </w:tr>
    </w:tbl>
    <w:p w14:paraId="3ADDB92E" w14:textId="77777777" w:rsidR="00014FB0" w:rsidRPr="007F50EE" w:rsidRDefault="00014FB0">
      <w:pPr>
        <w:pStyle w:val="IASBNormalnpara"/>
        <w:rPr>
          <w:sz w:val="6"/>
          <w:szCs w:val="6"/>
          <w:lang w:val="hr-HR"/>
        </w:rPr>
      </w:pPr>
    </w:p>
    <w:p w14:paraId="6715DFEB" w14:textId="3A6C63A2" w:rsidR="00014FB0" w:rsidRPr="00EF5D0A" w:rsidRDefault="00135517">
      <w:pPr>
        <w:pStyle w:val="IASBSectionTitle1NonInd"/>
        <w:rPr>
          <w:lang w:val="hr-HR"/>
        </w:rPr>
      </w:pPr>
      <w:bookmarkStart w:id="55" w:name="unique_40"/>
      <w:r>
        <w:rPr>
          <w:lang w:val="hr-HR"/>
        </w:rPr>
        <w:t xml:space="preserve">Objavljivanja o značaju finansijskih instrumenata za finansijski položaj i </w:t>
      </w:r>
      <w:r w:rsidR="009B5C3E">
        <w:rPr>
          <w:lang w:val="hr-HR"/>
        </w:rPr>
        <w:t>uspješnost</w:t>
      </w:r>
      <w:r>
        <w:rPr>
          <w:lang w:val="hr-HR"/>
        </w:rPr>
        <w:t xml:space="preserve"> </w:t>
      </w:r>
      <w:r w:rsidR="001C3CBD" w:rsidRPr="00EF5D0A">
        <w:rPr>
          <w:lang w:val="hr-HR"/>
        </w:rPr>
        <w:t>(</w:t>
      </w:r>
      <w:r>
        <w:rPr>
          <w:lang w:val="hr-HR"/>
        </w:rPr>
        <w:t>tačke od</w:t>
      </w:r>
      <w:r w:rsidR="001C3CBD" w:rsidRPr="00EF5D0A">
        <w:rPr>
          <w:lang w:val="hr-HR"/>
        </w:rPr>
        <w:t xml:space="preserve"> 7⁠</w:t>
      </w:r>
      <w:r>
        <w:rPr>
          <w:lang w:val="hr-HR"/>
        </w:rPr>
        <w:t xml:space="preserve"> do </w:t>
      </w:r>
      <w:r w:rsidR="001C3CBD" w:rsidRPr="00EF5D0A">
        <w:rPr>
          <w:lang w:val="hr-HR"/>
        </w:rPr>
        <w:t>⁠30</w:t>
      </w:r>
      <w:r w:rsidRPr="00135517">
        <w:rPr>
          <w:u w:val="single"/>
          <w:lang w:val="hr-HR"/>
        </w:rPr>
        <w:t>.</w:t>
      </w:r>
      <w:r w:rsidR="001C3CBD" w:rsidRPr="00EF5D0A">
        <w:rPr>
          <w:u w:val="single"/>
          <w:lang w:val="hr-HR"/>
        </w:rPr>
        <w:t>C</w:t>
      </w:r>
      <w:r w:rsidR="001C3CBD" w:rsidRPr="00EF5D0A">
        <w:rPr>
          <w:lang w:val="hr-HR"/>
        </w:rPr>
        <w:t>, B</w:t>
      </w:r>
      <w:r>
        <w:rPr>
          <w:lang w:val="hr-HR"/>
        </w:rPr>
        <w:t>.</w:t>
      </w:r>
      <w:r w:rsidR="001C3CBD" w:rsidRPr="00EF5D0A">
        <w:rPr>
          <w:lang w:val="hr-HR"/>
        </w:rPr>
        <w:t xml:space="preserve">4 </w:t>
      </w:r>
      <w:r>
        <w:rPr>
          <w:lang w:val="hr-HR"/>
        </w:rPr>
        <w:t>i</w:t>
      </w:r>
      <w:r w:rsidR="001C3CBD" w:rsidRPr="00EF5D0A">
        <w:rPr>
          <w:lang w:val="hr-HR"/>
        </w:rPr>
        <w:t xml:space="preserve"> B</w:t>
      </w:r>
      <w:r>
        <w:rPr>
          <w:lang w:val="hr-HR"/>
        </w:rPr>
        <w:t>.</w:t>
      </w:r>
      <w:r w:rsidR="001C3CBD" w:rsidRPr="00EF5D0A">
        <w:rPr>
          <w:lang w:val="hr-HR"/>
        </w:rPr>
        <w:t>5)</w:t>
      </w:r>
      <w:bookmarkEnd w:id="55"/>
    </w:p>
    <w:p w14:paraId="4D3C1BC7" w14:textId="77777777" w:rsidR="00014FB0" w:rsidRPr="00EF5D0A" w:rsidRDefault="001C3CBD">
      <w:pPr>
        <w:pStyle w:val="IASBNormalnpara"/>
        <w:rPr>
          <w:lang w:val="hr-HR"/>
        </w:rPr>
      </w:pPr>
      <w:r w:rsidRPr="00EF5D0A">
        <w:rPr>
          <w:lang w:val="hr-HR"/>
        </w:rPr>
        <w:tab/>
        <w:t>...</w:t>
      </w:r>
    </w:p>
    <w:p w14:paraId="1602803B" w14:textId="51886415" w:rsidR="00014FB0" w:rsidRPr="00EF5D0A" w:rsidRDefault="00135517">
      <w:pPr>
        <w:pStyle w:val="IASBSectionTitle2Ind"/>
        <w:rPr>
          <w:lang w:val="hr-HR"/>
        </w:rPr>
      </w:pPr>
      <w:bookmarkStart w:id="56" w:name="unique_173"/>
      <w:r>
        <w:rPr>
          <w:lang w:val="hr-HR"/>
        </w:rPr>
        <w:t xml:space="preserve">Druga objavljivanja: </w:t>
      </w:r>
      <w:r w:rsidR="00DF65E9">
        <w:rPr>
          <w:lang w:val="hr-HR"/>
        </w:rPr>
        <w:t xml:space="preserve">Ugovori </w:t>
      </w:r>
      <w:r w:rsidR="009B5C3E">
        <w:rPr>
          <w:lang w:val="hr-HR"/>
        </w:rPr>
        <w:t>o</w:t>
      </w:r>
      <w:r w:rsidR="00DF65E9">
        <w:rPr>
          <w:lang w:val="hr-HR"/>
        </w:rPr>
        <w:t xml:space="preserve"> električn</w:t>
      </w:r>
      <w:r w:rsidR="009B5C3E">
        <w:rPr>
          <w:lang w:val="hr-HR"/>
        </w:rPr>
        <w:t xml:space="preserve">oj </w:t>
      </w:r>
      <w:r w:rsidR="00DF65E9">
        <w:rPr>
          <w:lang w:val="hr-HR"/>
        </w:rPr>
        <w:t>energij</w:t>
      </w:r>
      <w:r w:rsidR="009B5C3E">
        <w:rPr>
          <w:lang w:val="hr-HR"/>
        </w:rPr>
        <w:t xml:space="preserve">i </w:t>
      </w:r>
      <w:r w:rsidR="00DF65E9">
        <w:rPr>
          <w:lang w:val="hr-HR"/>
        </w:rPr>
        <w:t>iz izvora zavisnih od prirodnih uslova</w:t>
      </w:r>
      <w:r>
        <w:rPr>
          <w:lang w:val="hr-HR"/>
        </w:rPr>
        <w:t xml:space="preserve"> </w:t>
      </w:r>
      <w:r w:rsidR="001C3CBD" w:rsidRPr="00EF5D0A">
        <w:rPr>
          <w:lang w:val="hr-HR"/>
        </w:rPr>
        <w:t>(</w:t>
      </w:r>
      <w:r>
        <w:rPr>
          <w:lang w:val="hr-HR"/>
        </w:rPr>
        <w:t>tačke od</w:t>
      </w:r>
      <w:r w:rsidR="001C3CBD" w:rsidRPr="00EF5D0A">
        <w:rPr>
          <w:lang w:val="hr-HR"/>
        </w:rPr>
        <w:t xml:space="preserve"> 5</w:t>
      </w:r>
      <w:r>
        <w:rPr>
          <w:lang w:val="hr-HR"/>
        </w:rPr>
        <w:t>.</w:t>
      </w:r>
      <w:r w:rsidR="001C3CBD" w:rsidRPr="00EF5D0A">
        <w:rPr>
          <w:lang w:val="hr-HR"/>
        </w:rPr>
        <w:t>B</w:t>
      </w:r>
      <w:r>
        <w:rPr>
          <w:lang w:val="hr-HR"/>
        </w:rPr>
        <w:t xml:space="preserve"> do </w:t>
      </w:r>
      <w:r w:rsidR="001C3CBD" w:rsidRPr="00EF5D0A">
        <w:rPr>
          <w:lang w:val="hr-HR"/>
        </w:rPr>
        <w:t>5</w:t>
      </w:r>
      <w:r>
        <w:rPr>
          <w:lang w:val="hr-HR"/>
        </w:rPr>
        <w:t>.</w:t>
      </w:r>
      <w:r w:rsidR="001C3CBD" w:rsidRPr="00EF5D0A">
        <w:rPr>
          <w:lang w:val="hr-HR"/>
        </w:rPr>
        <w:t xml:space="preserve">D </w:t>
      </w:r>
      <w:r>
        <w:rPr>
          <w:lang w:val="hr-HR"/>
        </w:rPr>
        <w:t xml:space="preserve">i od </w:t>
      </w:r>
      <w:r w:rsidR="001C3CBD" w:rsidRPr="00EF5D0A">
        <w:rPr>
          <w:lang w:val="hr-HR"/>
        </w:rPr>
        <w:t>30</w:t>
      </w:r>
      <w:r>
        <w:rPr>
          <w:lang w:val="hr-HR"/>
        </w:rPr>
        <w:t>.</w:t>
      </w:r>
      <w:r w:rsidR="001C3CBD" w:rsidRPr="00EF5D0A">
        <w:rPr>
          <w:lang w:val="hr-HR"/>
        </w:rPr>
        <w:t>A</w:t>
      </w:r>
      <w:r>
        <w:rPr>
          <w:lang w:val="hr-HR"/>
        </w:rPr>
        <w:t xml:space="preserve"> do </w:t>
      </w:r>
      <w:r w:rsidR="001C3CBD" w:rsidRPr="00EF5D0A">
        <w:rPr>
          <w:lang w:val="hr-HR"/>
        </w:rPr>
        <w:t>30</w:t>
      </w:r>
      <w:r>
        <w:rPr>
          <w:lang w:val="hr-HR"/>
        </w:rPr>
        <w:t>.</w:t>
      </w:r>
      <w:r w:rsidR="001C3CBD" w:rsidRPr="00EF5D0A">
        <w:rPr>
          <w:lang w:val="hr-HR"/>
        </w:rPr>
        <w:t>C)</w:t>
      </w:r>
      <w:bookmarkEnd w:id="56"/>
    </w:p>
    <w:p w14:paraId="78FE103A" w14:textId="7F4CE563" w:rsidR="00014FB0" w:rsidRPr="00EF5D0A" w:rsidRDefault="00135517">
      <w:pPr>
        <w:pStyle w:val="IASBNormalnpara"/>
        <w:rPr>
          <w:lang w:val="hr-HR"/>
        </w:rPr>
      </w:pPr>
      <w:r>
        <w:rPr>
          <w:lang w:val="hr-HR"/>
        </w:rPr>
        <w:t>OZ</w:t>
      </w:r>
      <w:r w:rsidR="002528B8">
        <w:rPr>
          <w:lang w:val="hr-HR"/>
        </w:rPr>
        <w:t>.</w:t>
      </w:r>
      <w:r w:rsidR="001C3CBD" w:rsidRPr="00EF5D0A">
        <w:rPr>
          <w:lang w:val="hr-HR"/>
        </w:rPr>
        <w:t>39I</w:t>
      </w:r>
      <w:r w:rsidR="001C3CBD" w:rsidRPr="00EF5D0A">
        <w:rPr>
          <w:lang w:val="hr-HR"/>
        </w:rPr>
        <w:tab/>
      </w:r>
      <w:r w:rsidR="007479EC">
        <w:rPr>
          <w:lang w:val="hr-HR"/>
        </w:rPr>
        <w:t xml:space="preserve">U decembru 2024. godine, Odbor je izdao dokument naslovljen </w:t>
      </w:r>
      <w:r w:rsidR="00DF65E9">
        <w:rPr>
          <w:i/>
          <w:lang w:val="hr-HR"/>
        </w:rPr>
        <w:t xml:space="preserve">Ugovori </w:t>
      </w:r>
      <w:r w:rsidR="002528B8">
        <w:rPr>
          <w:i/>
          <w:lang w:val="hr-HR"/>
        </w:rPr>
        <w:t>o</w:t>
      </w:r>
      <w:r w:rsidR="00DF65E9">
        <w:rPr>
          <w:i/>
          <w:lang w:val="hr-HR"/>
        </w:rPr>
        <w:t xml:space="preserve"> električn</w:t>
      </w:r>
      <w:r w:rsidR="002528B8">
        <w:rPr>
          <w:i/>
          <w:lang w:val="hr-HR"/>
        </w:rPr>
        <w:t>oj</w:t>
      </w:r>
      <w:r w:rsidR="00DF65E9">
        <w:rPr>
          <w:i/>
          <w:lang w:val="hr-HR"/>
        </w:rPr>
        <w:t xml:space="preserve"> energiju iz izvora zavisnih od prirodnih uslova</w:t>
      </w:r>
      <w:r w:rsidR="001C3CBD" w:rsidRPr="00EF5D0A">
        <w:rPr>
          <w:lang w:val="hr-HR"/>
        </w:rPr>
        <w:t xml:space="preserve">, </w:t>
      </w:r>
      <w:r w:rsidR="007479EC">
        <w:rPr>
          <w:lang w:val="hr-HR"/>
        </w:rPr>
        <w:t xml:space="preserve">kojim su izvršene izmjene i dopune MSFI-ja 9 i MSFI-ja 7. </w:t>
      </w:r>
      <w:r w:rsidR="00221DF4">
        <w:rPr>
          <w:lang w:val="hr-HR"/>
        </w:rPr>
        <w:t xml:space="preserve">Izmjene i dopune MSFI-ja 9 omogućavaju subjektima da u svoje finansijske izvještaje uvrste informacije koje vjernije prikazuju ugovore </w:t>
      </w:r>
      <w:r w:rsidR="002528B8">
        <w:rPr>
          <w:lang w:val="hr-HR"/>
        </w:rPr>
        <w:t xml:space="preserve">o </w:t>
      </w:r>
      <w:r w:rsidR="00221DF4">
        <w:rPr>
          <w:lang w:val="hr-HR"/>
        </w:rPr>
        <w:t>električn</w:t>
      </w:r>
      <w:r w:rsidR="002528B8">
        <w:rPr>
          <w:lang w:val="hr-HR"/>
        </w:rPr>
        <w:t>oj</w:t>
      </w:r>
      <w:r w:rsidR="00221DF4">
        <w:rPr>
          <w:lang w:val="hr-HR"/>
        </w:rPr>
        <w:t xml:space="preserve"> energij</w:t>
      </w:r>
      <w:r w:rsidR="002528B8">
        <w:rPr>
          <w:lang w:val="hr-HR"/>
        </w:rPr>
        <w:t>i</w:t>
      </w:r>
      <w:r w:rsidR="00221DF4">
        <w:rPr>
          <w:lang w:val="hr-HR"/>
        </w:rPr>
        <w:t xml:space="preserve"> iz </w:t>
      </w:r>
      <w:r w:rsidR="002528B8">
        <w:rPr>
          <w:lang w:val="hr-HR"/>
        </w:rPr>
        <w:t xml:space="preserve">izvora zavisnih od </w:t>
      </w:r>
      <w:r w:rsidR="00221DF4">
        <w:rPr>
          <w:lang w:val="hr-HR"/>
        </w:rPr>
        <w:t xml:space="preserve">prirodnih </w:t>
      </w:r>
      <w:r w:rsidR="002528B8">
        <w:rPr>
          <w:lang w:val="hr-HR"/>
        </w:rPr>
        <w:t>uslova</w:t>
      </w:r>
      <w:r w:rsidR="00221DF4">
        <w:rPr>
          <w:lang w:val="hr-HR"/>
        </w:rPr>
        <w:t xml:space="preserve"> (</w:t>
      </w:r>
      <w:r w:rsidR="002528B8">
        <w:rPr>
          <w:lang w:val="hr-HR"/>
        </w:rPr>
        <w:t>kako su opisani</w:t>
      </w:r>
      <w:r w:rsidR="00221DF4">
        <w:rPr>
          <w:lang w:val="hr-HR"/>
        </w:rPr>
        <w:t xml:space="preserve"> u tački </w:t>
      </w:r>
      <w:r w:rsidR="001C3CBD" w:rsidRPr="00EF5D0A">
        <w:rPr>
          <w:lang w:val="hr-HR"/>
        </w:rPr>
        <w:t>2.3</w:t>
      </w:r>
      <w:r w:rsidR="002528B8">
        <w:rPr>
          <w:lang w:val="hr-HR"/>
        </w:rPr>
        <w:t>.</w:t>
      </w:r>
      <w:r w:rsidR="001C3CBD" w:rsidRPr="00EF5D0A">
        <w:rPr>
          <w:lang w:val="hr-HR"/>
        </w:rPr>
        <w:t xml:space="preserve">A </w:t>
      </w:r>
      <w:r w:rsidR="00221DF4">
        <w:rPr>
          <w:lang w:val="hr-HR"/>
        </w:rPr>
        <w:t>MSFI-ja</w:t>
      </w:r>
      <w:r w:rsidR="001C3CBD" w:rsidRPr="00EF5D0A">
        <w:rPr>
          <w:lang w:val="hr-HR"/>
        </w:rPr>
        <w:t xml:space="preserve"> 9). </w:t>
      </w:r>
      <w:r w:rsidR="00221DF4">
        <w:rPr>
          <w:lang w:val="hr-HR"/>
        </w:rPr>
        <w:t>Dionici tvrde da obračunavanje takvih ugovora nakon primjene izmjena i dopuna MSFI-ja 9 garantuje veću transparentnost. Ti ugovori, bez obzira da li se izmiruju kroz isporuku električne energije ili u neto iznosu gotovine, odnosno drug</w:t>
      </w:r>
      <w:r w:rsidR="002528B8">
        <w:rPr>
          <w:lang w:val="hr-HR"/>
        </w:rPr>
        <w:t>im</w:t>
      </w:r>
      <w:r w:rsidR="00221DF4">
        <w:rPr>
          <w:lang w:val="hr-HR"/>
        </w:rPr>
        <w:t xml:space="preserve"> finansijsk</w:t>
      </w:r>
      <w:r w:rsidR="002528B8">
        <w:rPr>
          <w:lang w:val="hr-HR"/>
        </w:rPr>
        <w:t>im</w:t>
      </w:r>
      <w:r w:rsidR="00221DF4">
        <w:rPr>
          <w:lang w:val="hr-HR"/>
        </w:rPr>
        <w:t xml:space="preserve"> instrument</w:t>
      </w:r>
      <w:r w:rsidR="002528B8">
        <w:rPr>
          <w:lang w:val="hr-HR"/>
        </w:rPr>
        <w:t>om</w:t>
      </w:r>
      <w:r w:rsidR="00221DF4">
        <w:rPr>
          <w:lang w:val="hr-HR"/>
        </w:rPr>
        <w:t xml:space="preserve">, izlažu subjekte promjenjivosti predmetne količine električne energije jer njen izvor zavisi od uslova u prirodi koje nije moguće kontrolisati. Odbor je zaključio da bi bilo relevantno objaviti određene dodatne informacije za sve ugovore koji imaju te karakteristike. </w:t>
      </w:r>
    </w:p>
    <w:p w14:paraId="45C17522" w14:textId="29BB6BD6" w:rsidR="00014FB0" w:rsidRPr="00EF5D0A" w:rsidRDefault="00135517">
      <w:pPr>
        <w:pStyle w:val="IASBSectionTitle3Ind"/>
        <w:rPr>
          <w:lang w:val="hr-HR"/>
        </w:rPr>
      </w:pPr>
      <w:r>
        <w:rPr>
          <w:lang w:val="hr-HR"/>
        </w:rPr>
        <w:t>Djelokrug</w:t>
      </w:r>
    </w:p>
    <w:p w14:paraId="29B78121" w14:textId="6E375A35" w:rsidR="00014FB0" w:rsidRPr="00EF5D0A" w:rsidRDefault="00135517">
      <w:pPr>
        <w:pStyle w:val="IASBNormalnpara"/>
        <w:rPr>
          <w:lang w:val="hr-HR"/>
        </w:rPr>
      </w:pPr>
      <w:r>
        <w:rPr>
          <w:lang w:val="hr-HR"/>
        </w:rPr>
        <w:t>OZ</w:t>
      </w:r>
      <w:r w:rsidR="002528B8">
        <w:rPr>
          <w:lang w:val="hr-HR"/>
        </w:rPr>
        <w:t>.</w:t>
      </w:r>
      <w:r w:rsidR="001C3CBD" w:rsidRPr="00EF5D0A">
        <w:rPr>
          <w:lang w:val="hr-HR"/>
        </w:rPr>
        <w:t>39J</w:t>
      </w:r>
      <w:r w:rsidR="001C3CBD" w:rsidRPr="00EF5D0A">
        <w:rPr>
          <w:lang w:val="hr-HR"/>
        </w:rPr>
        <w:tab/>
      </w:r>
      <w:r w:rsidR="00221DF4">
        <w:rPr>
          <w:lang w:val="hr-HR"/>
        </w:rPr>
        <w:t xml:space="preserve">Odbor je zapazio da i drugi IFRS računovodstveni standardi sadrže zahtjeve u pogledu objavljivanja koji bi se mogli primijeniti na ugovore </w:t>
      </w:r>
      <w:r w:rsidR="002D1F71">
        <w:rPr>
          <w:lang w:val="hr-HR"/>
        </w:rPr>
        <w:t xml:space="preserve">o </w:t>
      </w:r>
      <w:r w:rsidR="00221DF4">
        <w:rPr>
          <w:lang w:val="hr-HR"/>
        </w:rPr>
        <w:t>električn</w:t>
      </w:r>
      <w:r w:rsidR="002D1F71">
        <w:rPr>
          <w:lang w:val="hr-HR"/>
        </w:rPr>
        <w:t>oj</w:t>
      </w:r>
      <w:r w:rsidR="00221DF4">
        <w:rPr>
          <w:lang w:val="hr-HR"/>
        </w:rPr>
        <w:t xml:space="preserve"> energij</w:t>
      </w:r>
      <w:r w:rsidR="002D1F71">
        <w:rPr>
          <w:lang w:val="hr-HR"/>
        </w:rPr>
        <w:t>i</w:t>
      </w:r>
      <w:r w:rsidR="00221DF4">
        <w:rPr>
          <w:lang w:val="hr-HR"/>
        </w:rPr>
        <w:t xml:space="preserve"> iz </w:t>
      </w:r>
      <w:r w:rsidR="002D1F71">
        <w:rPr>
          <w:lang w:val="hr-HR"/>
        </w:rPr>
        <w:t xml:space="preserve">izvora zavisnih od </w:t>
      </w:r>
      <w:r w:rsidR="00221DF4">
        <w:rPr>
          <w:lang w:val="hr-HR"/>
        </w:rPr>
        <w:t xml:space="preserve">prirodnih </w:t>
      </w:r>
      <w:r w:rsidR="002D1F71">
        <w:rPr>
          <w:lang w:val="hr-HR"/>
        </w:rPr>
        <w:t>uslova</w:t>
      </w:r>
      <w:r w:rsidR="00221DF4">
        <w:rPr>
          <w:lang w:val="hr-HR"/>
        </w:rPr>
        <w:t xml:space="preserve"> koji imaju karakteristike opisane u tački </w:t>
      </w:r>
      <w:r w:rsidR="001C3CBD" w:rsidRPr="00EF5D0A">
        <w:rPr>
          <w:lang w:val="hr-HR"/>
        </w:rPr>
        <w:t>2.3</w:t>
      </w:r>
      <w:r w:rsidR="002D1F71">
        <w:rPr>
          <w:lang w:val="hr-HR"/>
        </w:rPr>
        <w:t>.</w:t>
      </w:r>
      <w:r w:rsidR="001C3CBD" w:rsidRPr="00EF5D0A">
        <w:rPr>
          <w:lang w:val="hr-HR"/>
        </w:rPr>
        <w:t xml:space="preserve">A </w:t>
      </w:r>
      <w:r w:rsidR="00221DF4">
        <w:rPr>
          <w:lang w:val="hr-HR"/>
        </w:rPr>
        <w:t>MSFI-ja</w:t>
      </w:r>
      <w:r w:rsidR="001C3CBD" w:rsidRPr="00EF5D0A">
        <w:rPr>
          <w:lang w:val="hr-HR"/>
        </w:rPr>
        <w:t xml:space="preserve"> 9. </w:t>
      </w:r>
      <w:r w:rsidR="002D1F71">
        <w:rPr>
          <w:lang w:val="hr-HR"/>
        </w:rPr>
        <w:t xml:space="preserve">Zaključili su </w:t>
      </w:r>
      <w:r w:rsidR="00221DF4">
        <w:rPr>
          <w:lang w:val="hr-HR"/>
        </w:rPr>
        <w:t>da drugi IFRS računovodstveni standardi sadrže dovoljno zahtjeva u pogledu objavljivanja za</w:t>
      </w:r>
      <w:r w:rsidR="001C3CBD" w:rsidRPr="00EF5D0A">
        <w:rPr>
          <w:lang w:val="hr-HR"/>
        </w:rPr>
        <w:t>:</w:t>
      </w:r>
    </w:p>
    <w:p w14:paraId="7FE1986A" w14:textId="0D896DD5" w:rsidR="00014FB0" w:rsidRPr="00EF5D0A" w:rsidRDefault="001C3CBD" w:rsidP="007F50EE">
      <w:pPr>
        <w:pStyle w:val="IASBNormalnparaL1"/>
        <w:spacing w:before="80"/>
        <w:rPr>
          <w:lang w:val="hr-HR"/>
        </w:rPr>
      </w:pPr>
      <w:r w:rsidRPr="00EF5D0A">
        <w:rPr>
          <w:lang w:val="hr-HR"/>
        </w:rPr>
        <w:t>(a)</w:t>
      </w:r>
      <w:r w:rsidRPr="00EF5D0A">
        <w:rPr>
          <w:lang w:val="hr-HR"/>
        </w:rPr>
        <w:tab/>
      </w:r>
      <w:r w:rsidR="00221DF4">
        <w:rPr>
          <w:lang w:val="hr-HR"/>
        </w:rPr>
        <w:t xml:space="preserve">ugovore o prodaji i isporuci električne energije iz </w:t>
      </w:r>
      <w:r w:rsidR="002D1F71">
        <w:rPr>
          <w:lang w:val="hr-HR"/>
        </w:rPr>
        <w:t>izvora zavisnih od prirodnih uslova k</w:t>
      </w:r>
      <w:r w:rsidR="00221DF4">
        <w:rPr>
          <w:lang w:val="hr-HR"/>
        </w:rPr>
        <w:t>oji se obračunavaju kao izvršni ugovori. MSFI</w:t>
      </w:r>
      <w:r w:rsidRPr="00EF5D0A">
        <w:rPr>
          <w:lang w:val="hr-HR"/>
        </w:rPr>
        <w:t xml:space="preserve"> 15 </w:t>
      </w:r>
      <w:r w:rsidR="00221DF4">
        <w:rPr>
          <w:i/>
          <w:lang w:val="hr-HR"/>
        </w:rPr>
        <w:t>Prihodi od ugovora s kupcima</w:t>
      </w:r>
      <w:r w:rsidRPr="00EF5D0A">
        <w:rPr>
          <w:lang w:val="hr-HR"/>
        </w:rPr>
        <w:t xml:space="preserve"> </w:t>
      </w:r>
      <w:r w:rsidR="00221DF4">
        <w:rPr>
          <w:lang w:val="hr-HR"/>
        </w:rPr>
        <w:t xml:space="preserve">se u pravilu primjenjuje u odnosu na takve ugovore i nalaže subjektima da objave informacije koje će korisnicima njihovih finansijskih izvještaja omogućiti da razumiju prirodu, iznos, termine i neizvjesnost prihoda i novčanih tokova koji proističu iz njihovih ugovora s kupcima; </w:t>
      </w:r>
    </w:p>
    <w:p w14:paraId="0CA11B03" w14:textId="73A9D1F3" w:rsidR="00014FB0" w:rsidRPr="00EF5D0A" w:rsidRDefault="001C3CBD" w:rsidP="007F50EE">
      <w:pPr>
        <w:pStyle w:val="IASBNormalnparaL1"/>
        <w:spacing w:before="80"/>
        <w:rPr>
          <w:lang w:val="hr-HR"/>
        </w:rPr>
      </w:pPr>
      <w:r w:rsidRPr="00EF5D0A">
        <w:rPr>
          <w:lang w:val="hr-HR"/>
        </w:rPr>
        <w:t>(b)</w:t>
      </w:r>
      <w:r w:rsidRPr="00EF5D0A">
        <w:rPr>
          <w:lang w:val="hr-HR"/>
        </w:rPr>
        <w:tab/>
      </w:r>
      <w:r w:rsidR="00221DF4">
        <w:rPr>
          <w:lang w:val="hr-HR"/>
        </w:rPr>
        <w:t xml:space="preserve">ugovore </w:t>
      </w:r>
      <w:r w:rsidR="007F1A13">
        <w:rPr>
          <w:lang w:val="hr-HR"/>
        </w:rPr>
        <w:t>o</w:t>
      </w:r>
      <w:r w:rsidR="00221DF4">
        <w:rPr>
          <w:lang w:val="hr-HR"/>
        </w:rPr>
        <w:t xml:space="preserve"> električn</w:t>
      </w:r>
      <w:r w:rsidR="007F1A13">
        <w:rPr>
          <w:lang w:val="hr-HR"/>
        </w:rPr>
        <w:t>oj</w:t>
      </w:r>
      <w:r w:rsidR="00221DF4">
        <w:rPr>
          <w:lang w:val="hr-HR"/>
        </w:rPr>
        <w:t xml:space="preserve"> energij</w:t>
      </w:r>
      <w:r w:rsidR="007F1A13">
        <w:rPr>
          <w:lang w:val="hr-HR"/>
        </w:rPr>
        <w:t>i</w:t>
      </w:r>
      <w:r w:rsidR="00221DF4">
        <w:rPr>
          <w:lang w:val="hr-HR"/>
        </w:rPr>
        <w:t xml:space="preserve"> iz </w:t>
      </w:r>
      <w:r w:rsidR="007F1A13">
        <w:rPr>
          <w:lang w:val="hr-HR"/>
        </w:rPr>
        <w:t xml:space="preserve">izvora zavisnih od </w:t>
      </w:r>
      <w:r w:rsidR="00221DF4">
        <w:rPr>
          <w:lang w:val="hr-HR"/>
        </w:rPr>
        <w:t xml:space="preserve">prirodnih </w:t>
      </w:r>
      <w:r w:rsidR="007F1A13">
        <w:rPr>
          <w:lang w:val="hr-HR"/>
        </w:rPr>
        <w:t xml:space="preserve">uslova </w:t>
      </w:r>
      <w:r w:rsidR="00221DF4">
        <w:rPr>
          <w:lang w:val="hr-HR"/>
        </w:rPr>
        <w:t>koji se obračunavaju po fer vrijednosti u skladu sa MSFI-jem</w:t>
      </w:r>
      <w:r w:rsidRPr="00EF5D0A">
        <w:rPr>
          <w:lang w:val="hr-HR"/>
        </w:rPr>
        <w:t xml:space="preserve"> 9. </w:t>
      </w:r>
      <w:r w:rsidR="00221DF4">
        <w:rPr>
          <w:lang w:val="hr-HR"/>
        </w:rPr>
        <w:t>MSFI</w:t>
      </w:r>
      <w:r w:rsidRPr="00EF5D0A">
        <w:rPr>
          <w:lang w:val="hr-HR"/>
        </w:rPr>
        <w:t xml:space="preserve"> 7 </w:t>
      </w:r>
      <w:r w:rsidR="00221DF4">
        <w:rPr>
          <w:lang w:val="hr-HR"/>
        </w:rPr>
        <w:t>i MSFI</w:t>
      </w:r>
      <w:r w:rsidRPr="00EF5D0A">
        <w:rPr>
          <w:lang w:val="hr-HR"/>
        </w:rPr>
        <w:t xml:space="preserve"> 13 </w:t>
      </w:r>
      <w:r w:rsidR="00221DF4">
        <w:rPr>
          <w:i/>
          <w:lang w:val="hr-HR"/>
        </w:rPr>
        <w:t xml:space="preserve">Mjerenje fer vrijednosti </w:t>
      </w:r>
      <w:r w:rsidR="00221DF4">
        <w:rPr>
          <w:lang w:val="hr-HR"/>
        </w:rPr>
        <w:t>uključuju zahtjeve u pogledu objavljivanja za ugovore koji se</w:t>
      </w:r>
    </w:p>
    <w:p w14:paraId="1B960959" w14:textId="7C0810A5" w:rsidR="00014FB0" w:rsidRPr="00EF5D0A" w:rsidRDefault="001C3CBD" w:rsidP="007F50EE">
      <w:pPr>
        <w:pStyle w:val="IASBNormalnparaL2"/>
        <w:spacing w:before="80"/>
        <w:rPr>
          <w:lang w:val="hr-HR"/>
        </w:rPr>
      </w:pPr>
      <w:r w:rsidRPr="00EF5D0A">
        <w:rPr>
          <w:lang w:val="hr-HR"/>
        </w:rPr>
        <w:t>(i)</w:t>
      </w:r>
      <w:r w:rsidRPr="00EF5D0A">
        <w:rPr>
          <w:lang w:val="hr-HR"/>
        </w:rPr>
        <w:tab/>
      </w:r>
      <w:r w:rsidR="00221DF4">
        <w:rPr>
          <w:lang w:val="hr-HR"/>
        </w:rPr>
        <w:t>obračunavaju kao derivati u skladu sa MSFI-jem 9; i</w:t>
      </w:r>
    </w:p>
    <w:p w14:paraId="65F16B34" w14:textId="0D59CC6B" w:rsidR="00014FB0" w:rsidRPr="00EF5D0A" w:rsidRDefault="001C3CBD" w:rsidP="007F50EE">
      <w:pPr>
        <w:pStyle w:val="IASBNormalnparaL2"/>
        <w:spacing w:before="80"/>
        <w:rPr>
          <w:lang w:val="hr-HR"/>
        </w:rPr>
      </w:pPr>
      <w:r w:rsidRPr="00EF5D0A">
        <w:rPr>
          <w:lang w:val="hr-HR"/>
        </w:rPr>
        <w:t>(ii)</w:t>
      </w:r>
      <w:r w:rsidRPr="00EF5D0A">
        <w:rPr>
          <w:lang w:val="hr-HR"/>
        </w:rPr>
        <w:tab/>
      </w:r>
      <w:r w:rsidR="00221DF4">
        <w:rPr>
          <w:lang w:val="hr-HR"/>
        </w:rPr>
        <w:t xml:space="preserve">određuju kao mjereni po fer vrijednosti kroz bilans uspjeha u skladu sa tačkom </w:t>
      </w:r>
      <w:r w:rsidRPr="00EF5D0A">
        <w:rPr>
          <w:lang w:val="hr-HR"/>
        </w:rPr>
        <w:t xml:space="preserve">2.5 </w:t>
      </w:r>
      <w:r w:rsidR="00221DF4">
        <w:rPr>
          <w:lang w:val="hr-HR"/>
        </w:rPr>
        <w:t>MSFI-ja</w:t>
      </w:r>
      <w:r w:rsidRPr="00EF5D0A">
        <w:rPr>
          <w:lang w:val="hr-HR"/>
        </w:rPr>
        <w:t xml:space="preserve"> 9.</w:t>
      </w:r>
    </w:p>
    <w:p w14:paraId="79AA9BDA" w14:textId="329EB4E4" w:rsidR="00014FB0" w:rsidRPr="00EF5D0A" w:rsidRDefault="00135517">
      <w:pPr>
        <w:pStyle w:val="IASBNormalnpara"/>
        <w:rPr>
          <w:lang w:val="hr-HR"/>
        </w:rPr>
      </w:pPr>
      <w:r>
        <w:rPr>
          <w:lang w:val="hr-HR"/>
        </w:rPr>
        <w:t>OZ</w:t>
      </w:r>
      <w:r w:rsidR="00A90A86">
        <w:rPr>
          <w:lang w:val="hr-HR"/>
        </w:rPr>
        <w:t>.</w:t>
      </w:r>
      <w:r w:rsidR="001C3CBD" w:rsidRPr="00EF5D0A">
        <w:rPr>
          <w:lang w:val="hr-HR"/>
        </w:rPr>
        <w:t>39K</w:t>
      </w:r>
      <w:r w:rsidR="001C3CBD" w:rsidRPr="00EF5D0A">
        <w:rPr>
          <w:lang w:val="hr-HR"/>
        </w:rPr>
        <w:tab/>
      </w:r>
      <w:r w:rsidR="00221DF4">
        <w:rPr>
          <w:lang w:val="hr-HR"/>
        </w:rPr>
        <w:t xml:space="preserve">Nije bila namjera Odbora da subjekti </w:t>
      </w:r>
      <w:r w:rsidR="00A90A86">
        <w:rPr>
          <w:lang w:val="hr-HR"/>
        </w:rPr>
        <w:t xml:space="preserve">ponavljaju </w:t>
      </w:r>
      <w:r w:rsidR="00221DF4">
        <w:rPr>
          <w:lang w:val="hr-HR"/>
        </w:rPr>
        <w:t>informacije koje</w:t>
      </w:r>
      <w:r w:rsidR="00EE001E">
        <w:rPr>
          <w:lang w:val="hr-HR"/>
        </w:rPr>
        <w:t xml:space="preserve"> su v</w:t>
      </w:r>
      <w:r w:rsidR="00A90A86">
        <w:rPr>
          <w:lang w:val="hr-HR"/>
        </w:rPr>
        <w:t>eć</w:t>
      </w:r>
      <w:r w:rsidR="00EE001E">
        <w:rPr>
          <w:lang w:val="hr-HR"/>
        </w:rPr>
        <w:t xml:space="preserve"> pružili pa su se odlučili izraditi nove zahtjeve u pogledu objavljivanja za ugovore čiji način obračunavanja se mijenja ovim izmjenama i dopunama. Odbor je zaključio da se dodatni zahtjevi u pogledu objavljivanja odnose na: </w:t>
      </w:r>
    </w:p>
    <w:p w14:paraId="212A04F7" w14:textId="0481468A" w:rsidR="00014FB0" w:rsidRPr="00EF5D0A" w:rsidRDefault="001C3CBD" w:rsidP="007F50EE">
      <w:pPr>
        <w:pStyle w:val="IASBNormalnparaL1"/>
        <w:spacing w:before="80"/>
        <w:rPr>
          <w:lang w:val="hr-HR"/>
        </w:rPr>
      </w:pPr>
      <w:r w:rsidRPr="00EF5D0A">
        <w:rPr>
          <w:lang w:val="hr-HR"/>
        </w:rPr>
        <w:t>(a)</w:t>
      </w:r>
      <w:r w:rsidRPr="00EF5D0A">
        <w:rPr>
          <w:lang w:val="hr-HR"/>
        </w:rPr>
        <w:tab/>
      </w:r>
      <w:r w:rsidR="00EE001E">
        <w:rPr>
          <w:lang w:val="hr-HR"/>
        </w:rPr>
        <w:t xml:space="preserve">ugovore o prihvatanju isporuke električne energije iz </w:t>
      </w:r>
      <w:r w:rsidR="00A90A86">
        <w:rPr>
          <w:lang w:val="hr-HR"/>
        </w:rPr>
        <w:t xml:space="preserve">izvora zavisnih od </w:t>
      </w:r>
      <w:r w:rsidR="00EE001E">
        <w:rPr>
          <w:lang w:val="hr-HR"/>
        </w:rPr>
        <w:t xml:space="preserve">prirodnih </w:t>
      </w:r>
      <w:r w:rsidR="00A90A86">
        <w:rPr>
          <w:lang w:val="hr-HR"/>
        </w:rPr>
        <w:t>uslova</w:t>
      </w:r>
      <w:r w:rsidR="00EE001E">
        <w:rPr>
          <w:lang w:val="hr-HR"/>
        </w:rPr>
        <w:t xml:space="preserve"> koji se obračunavaju kao izvršni ugovori u skladu sa tačkama </w:t>
      </w:r>
      <w:r w:rsidRPr="00EF5D0A">
        <w:rPr>
          <w:lang w:val="hr-HR"/>
        </w:rPr>
        <w:t>B2.7</w:t>
      </w:r>
      <w:r w:rsidR="00EE001E">
        <w:rPr>
          <w:lang w:val="hr-HR"/>
        </w:rPr>
        <w:t xml:space="preserve"> i </w:t>
      </w:r>
      <w:r w:rsidRPr="00EF5D0A">
        <w:rPr>
          <w:lang w:val="hr-HR"/>
        </w:rPr>
        <w:t xml:space="preserve">B2.8 </w:t>
      </w:r>
      <w:r w:rsidR="00EE001E">
        <w:rPr>
          <w:lang w:val="hr-HR"/>
        </w:rPr>
        <w:t>MSFI-ja</w:t>
      </w:r>
      <w:r w:rsidRPr="00EF5D0A">
        <w:rPr>
          <w:lang w:val="hr-HR"/>
        </w:rPr>
        <w:t xml:space="preserve"> 9; </w:t>
      </w:r>
      <w:r w:rsidR="00EE001E">
        <w:rPr>
          <w:lang w:val="hr-HR"/>
        </w:rPr>
        <w:t>i</w:t>
      </w:r>
    </w:p>
    <w:p w14:paraId="640D3A7D" w14:textId="3FFF4106" w:rsidR="00014FB0" w:rsidRPr="00EF5D0A" w:rsidRDefault="001C3CBD" w:rsidP="007F50EE">
      <w:pPr>
        <w:pStyle w:val="IASBNormalnparaL1"/>
        <w:spacing w:before="80"/>
        <w:rPr>
          <w:lang w:val="hr-HR"/>
        </w:rPr>
      </w:pPr>
      <w:r w:rsidRPr="00EF5D0A">
        <w:rPr>
          <w:lang w:val="hr-HR"/>
        </w:rPr>
        <w:t>(b)</w:t>
      </w:r>
      <w:r w:rsidRPr="00EF5D0A">
        <w:rPr>
          <w:lang w:val="hr-HR"/>
        </w:rPr>
        <w:tab/>
      </w:r>
      <w:r w:rsidR="00EE001E">
        <w:rPr>
          <w:lang w:val="hr-HR"/>
        </w:rPr>
        <w:t xml:space="preserve">ugovore </w:t>
      </w:r>
      <w:r w:rsidR="00A90A86">
        <w:rPr>
          <w:lang w:val="hr-HR"/>
        </w:rPr>
        <w:t xml:space="preserve">o </w:t>
      </w:r>
      <w:r w:rsidR="00EE001E">
        <w:rPr>
          <w:lang w:val="hr-HR"/>
        </w:rPr>
        <w:t>električn</w:t>
      </w:r>
      <w:r w:rsidR="00A90A86">
        <w:rPr>
          <w:lang w:val="hr-HR"/>
        </w:rPr>
        <w:t>oj</w:t>
      </w:r>
      <w:r w:rsidR="00EE001E">
        <w:rPr>
          <w:lang w:val="hr-HR"/>
        </w:rPr>
        <w:t xml:space="preserve"> energij</w:t>
      </w:r>
      <w:r w:rsidR="00A90A86">
        <w:rPr>
          <w:lang w:val="hr-HR"/>
        </w:rPr>
        <w:t>i</w:t>
      </w:r>
      <w:r w:rsidR="00EE001E">
        <w:rPr>
          <w:lang w:val="hr-HR"/>
        </w:rPr>
        <w:t xml:space="preserve"> iz </w:t>
      </w:r>
      <w:r w:rsidR="00A90A86">
        <w:rPr>
          <w:lang w:val="hr-HR"/>
        </w:rPr>
        <w:t xml:space="preserve">izvora zavisnih od </w:t>
      </w:r>
      <w:r w:rsidR="00EE001E">
        <w:rPr>
          <w:lang w:val="hr-HR"/>
        </w:rPr>
        <w:t xml:space="preserve">prirodnih </w:t>
      </w:r>
      <w:r w:rsidR="00A90A86">
        <w:rPr>
          <w:lang w:val="hr-HR"/>
        </w:rPr>
        <w:t>uslova</w:t>
      </w:r>
      <w:r w:rsidR="00EE001E">
        <w:rPr>
          <w:lang w:val="hr-HR"/>
        </w:rPr>
        <w:t xml:space="preserve"> koji se obračunavaju po fer vrijednosti kroz bilans uspjeha o</w:t>
      </w:r>
      <w:r w:rsidR="00A90A86">
        <w:rPr>
          <w:lang w:val="hr-HR"/>
        </w:rPr>
        <w:t>dređene</w:t>
      </w:r>
      <w:r w:rsidR="00EE001E">
        <w:rPr>
          <w:lang w:val="hr-HR"/>
        </w:rPr>
        <w:t xml:space="preserve"> u odnos zaštite u skladu sa izmjenama i dopunama koje se tiču računovodstva zaštite od rizika. </w:t>
      </w:r>
    </w:p>
    <w:p w14:paraId="6A89C78A" w14:textId="422E5C7A" w:rsidR="00014FB0" w:rsidRPr="00EF5D0A" w:rsidRDefault="00135517">
      <w:pPr>
        <w:pStyle w:val="IASBNormalnpara"/>
        <w:rPr>
          <w:lang w:val="hr-HR"/>
        </w:rPr>
      </w:pPr>
      <w:r>
        <w:rPr>
          <w:lang w:val="hr-HR"/>
        </w:rPr>
        <w:t>OZ</w:t>
      </w:r>
      <w:r w:rsidR="001C3CBD" w:rsidRPr="00EF5D0A">
        <w:rPr>
          <w:lang w:val="hr-HR"/>
        </w:rPr>
        <w:t>39L</w:t>
      </w:r>
      <w:r w:rsidR="001C3CBD" w:rsidRPr="00EF5D0A">
        <w:rPr>
          <w:lang w:val="hr-HR"/>
        </w:rPr>
        <w:tab/>
      </w:r>
      <w:r w:rsidR="007363CF">
        <w:rPr>
          <w:lang w:val="hr-HR"/>
        </w:rPr>
        <w:t xml:space="preserve">U kontekstu djelokruga objavljivanja kako je uređen u tački </w:t>
      </w:r>
      <w:r>
        <w:rPr>
          <w:lang w:val="hr-HR"/>
        </w:rPr>
        <w:t>OZ</w:t>
      </w:r>
      <w:r w:rsidR="00930BD4">
        <w:rPr>
          <w:lang w:val="hr-HR"/>
        </w:rPr>
        <w:t>.</w:t>
      </w:r>
      <w:r w:rsidR="001C3CBD" w:rsidRPr="00EF5D0A">
        <w:rPr>
          <w:lang w:val="hr-HR"/>
        </w:rPr>
        <w:t xml:space="preserve">39K, </w:t>
      </w:r>
      <w:r w:rsidR="007363CF">
        <w:rPr>
          <w:lang w:val="hr-HR"/>
        </w:rPr>
        <w:t xml:space="preserve">Odbor je odlučio u tačku 30.C uvrstiti zahtjev da, ukoliko subjekt objavljuje informacije o svojim ugovorima </w:t>
      </w:r>
      <w:r w:rsidR="00930BD4">
        <w:rPr>
          <w:lang w:val="hr-HR"/>
        </w:rPr>
        <w:t xml:space="preserve">o </w:t>
      </w:r>
      <w:r w:rsidR="007363CF">
        <w:rPr>
          <w:lang w:val="hr-HR"/>
        </w:rPr>
        <w:t>električn</w:t>
      </w:r>
      <w:r w:rsidR="00930BD4">
        <w:rPr>
          <w:lang w:val="hr-HR"/>
        </w:rPr>
        <w:t>oj</w:t>
      </w:r>
      <w:r w:rsidR="007363CF">
        <w:rPr>
          <w:lang w:val="hr-HR"/>
        </w:rPr>
        <w:t xml:space="preserve"> energij</w:t>
      </w:r>
      <w:r w:rsidR="00930BD4">
        <w:rPr>
          <w:lang w:val="hr-HR"/>
        </w:rPr>
        <w:t>i</w:t>
      </w:r>
      <w:r w:rsidR="007363CF">
        <w:rPr>
          <w:lang w:val="hr-HR"/>
        </w:rPr>
        <w:t xml:space="preserve"> iz </w:t>
      </w:r>
      <w:r w:rsidR="00930BD4">
        <w:rPr>
          <w:lang w:val="hr-HR"/>
        </w:rPr>
        <w:t xml:space="preserve">izvora zavisnih od </w:t>
      </w:r>
      <w:r w:rsidR="007363CF">
        <w:rPr>
          <w:lang w:val="hr-HR"/>
        </w:rPr>
        <w:t xml:space="preserve">prirodnih </w:t>
      </w:r>
      <w:r w:rsidR="00930BD4">
        <w:rPr>
          <w:lang w:val="hr-HR"/>
        </w:rPr>
        <w:t>uslova</w:t>
      </w:r>
      <w:r w:rsidR="007363CF">
        <w:rPr>
          <w:lang w:val="hr-HR"/>
        </w:rPr>
        <w:t xml:space="preserve"> u više od jedne bilješke u</w:t>
      </w:r>
      <w:r w:rsidR="00930BD4">
        <w:rPr>
          <w:lang w:val="hr-HR"/>
        </w:rPr>
        <w:t xml:space="preserve"> svojim</w:t>
      </w:r>
      <w:r w:rsidR="007363CF">
        <w:rPr>
          <w:lang w:val="hr-HR"/>
        </w:rPr>
        <w:t xml:space="preserve"> finansijsk</w:t>
      </w:r>
      <w:r w:rsidR="00930BD4">
        <w:rPr>
          <w:lang w:val="hr-HR"/>
        </w:rPr>
        <w:t>im</w:t>
      </w:r>
      <w:r w:rsidR="007363CF">
        <w:rPr>
          <w:lang w:val="hr-HR"/>
        </w:rPr>
        <w:t xml:space="preserve"> izvještaj</w:t>
      </w:r>
      <w:r w:rsidR="00930BD4">
        <w:rPr>
          <w:lang w:val="hr-HR"/>
        </w:rPr>
        <w:t>ima</w:t>
      </w:r>
      <w:r w:rsidR="007363CF">
        <w:rPr>
          <w:lang w:val="hr-HR"/>
        </w:rPr>
        <w:t xml:space="preserve">, dužan je uvrstiti unakrsno upućivanje na te bilješke u bilješku u okviru koje objavljuje informacije koje se zahtijevaju tačkom </w:t>
      </w:r>
      <w:r w:rsidR="001C3CBD" w:rsidRPr="00EF5D0A">
        <w:rPr>
          <w:lang w:val="hr-HR"/>
        </w:rPr>
        <w:t>30</w:t>
      </w:r>
      <w:r w:rsidR="007363CF">
        <w:rPr>
          <w:lang w:val="hr-HR"/>
        </w:rPr>
        <w:t>.</w:t>
      </w:r>
      <w:r w:rsidR="001C3CBD" w:rsidRPr="00EF5D0A">
        <w:rPr>
          <w:lang w:val="hr-HR"/>
        </w:rPr>
        <w:t xml:space="preserve">A. </w:t>
      </w:r>
      <w:r w:rsidR="007363CF">
        <w:rPr>
          <w:lang w:val="hr-HR"/>
        </w:rPr>
        <w:lastRenderedPageBreak/>
        <w:t xml:space="preserve">Ovaj zahtjev omogućava korisnicima finansijskih izvještaja (investitorima) da sve informacije o ugovorima </w:t>
      </w:r>
      <w:r w:rsidR="00930BD4">
        <w:rPr>
          <w:lang w:val="hr-HR"/>
        </w:rPr>
        <w:t>o</w:t>
      </w:r>
      <w:r w:rsidR="007363CF">
        <w:rPr>
          <w:lang w:val="hr-HR"/>
        </w:rPr>
        <w:t xml:space="preserve"> električn</w:t>
      </w:r>
      <w:r w:rsidR="00930BD4">
        <w:rPr>
          <w:lang w:val="hr-HR"/>
        </w:rPr>
        <w:t>oj</w:t>
      </w:r>
      <w:r w:rsidR="007363CF">
        <w:rPr>
          <w:lang w:val="hr-HR"/>
        </w:rPr>
        <w:t xml:space="preserve"> energij</w:t>
      </w:r>
      <w:r w:rsidR="00930BD4">
        <w:rPr>
          <w:lang w:val="hr-HR"/>
        </w:rPr>
        <w:t xml:space="preserve">i </w:t>
      </w:r>
      <w:r w:rsidR="007363CF">
        <w:rPr>
          <w:lang w:val="hr-HR"/>
        </w:rPr>
        <w:t xml:space="preserve">iz </w:t>
      </w:r>
      <w:r w:rsidR="00930BD4">
        <w:rPr>
          <w:lang w:val="hr-HR"/>
        </w:rPr>
        <w:t xml:space="preserve">izvora zavisnih od </w:t>
      </w:r>
      <w:r w:rsidR="007363CF">
        <w:rPr>
          <w:lang w:val="hr-HR"/>
        </w:rPr>
        <w:t xml:space="preserve">prirodnih </w:t>
      </w:r>
      <w:r w:rsidR="00930BD4">
        <w:rPr>
          <w:lang w:val="hr-HR"/>
        </w:rPr>
        <w:t>uslova</w:t>
      </w:r>
      <w:r w:rsidR="007363CF">
        <w:rPr>
          <w:lang w:val="hr-HR"/>
        </w:rPr>
        <w:t xml:space="preserve"> pronađu u samo jednoj bilješki u</w:t>
      </w:r>
      <w:r w:rsidR="00930BD4">
        <w:rPr>
          <w:lang w:val="hr-HR"/>
        </w:rPr>
        <w:t xml:space="preserve"> </w:t>
      </w:r>
      <w:r w:rsidR="007363CF">
        <w:rPr>
          <w:lang w:val="hr-HR"/>
        </w:rPr>
        <w:t>finansijsk</w:t>
      </w:r>
      <w:r w:rsidR="00930BD4">
        <w:rPr>
          <w:lang w:val="hr-HR"/>
        </w:rPr>
        <w:t>im</w:t>
      </w:r>
      <w:r w:rsidR="007363CF">
        <w:rPr>
          <w:lang w:val="hr-HR"/>
        </w:rPr>
        <w:t xml:space="preserve"> izvještaj</w:t>
      </w:r>
      <w:r w:rsidR="00930BD4">
        <w:rPr>
          <w:lang w:val="hr-HR"/>
        </w:rPr>
        <w:t>ima</w:t>
      </w:r>
      <w:r w:rsidR="007363CF">
        <w:rPr>
          <w:lang w:val="hr-HR"/>
        </w:rPr>
        <w:t xml:space="preserve">. Odbor je odlučio i to da se potreba za primjenom navedenog zahtjeva javlja primarno u odnosu na ugovore koje subjekt sklapa </w:t>
      </w:r>
      <w:r w:rsidR="00930BD4">
        <w:rPr>
          <w:lang w:val="hr-HR"/>
        </w:rPr>
        <w:t xml:space="preserve">u vezi sa </w:t>
      </w:r>
      <w:r w:rsidR="007363CF">
        <w:rPr>
          <w:lang w:val="hr-HR"/>
        </w:rPr>
        <w:t>svoj</w:t>
      </w:r>
      <w:r w:rsidR="00930BD4">
        <w:rPr>
          <w:lang w:val="hr-HR"/>
        </w:rPr>
        <w:t xml:space="preserve">im </w:t>
      </w:r>
      <w:r w:rsidR="007363CF">
        <w:rPr>
          <w:lang w:val="hr-HR"/>
        </w:rPr>
        <w:t>nabavk</w:t>
      </w:r>
      <w:r w:rsidR="00930BD4">
        <w:rPr>
          <w:lang w:val="hr-HR"/>
        </w:rPr>
        <w:t>ama</w:t>
      </w:r>
      <w:r w:rsidR="007363CF">
        <w:rPr>
          <w:lang w:val="hr-HR"/>
        </w:rPr>
        <w:t>, ne i one koji se tiču njegove prodaje električne energije</w:t>
      </w:r>
      <w:r w:rsidR="00930BD4">
        <w:rPr>
          <w:lang w:val="hr-HR"/>
        </w:rPr>
        <w:t>.</w:t>
      </w:r>
    </w:p>
    <w:p w14:paraId="42B8FC2F" w14:textId="6E537B06" w:rsidR="00014FB0" w:rsidRPr="00EF5D0A" w:rsidRDefault="007363CF">
      <w:pPr>
        <w:pStyle w:val="IASBSectionTitle3Ind"/>
        <w:rPr>
          <w:lang w:val="hr-HR"/>
        </w:rPr>
      </w:pPr>
      <w:bookmarkStart w:id="57" w:name="unique_176"/>
      <w:r>
        <w:rPr>
          <w:lang w:val="hr-HR"/>
        </w:rPr>
        <w:t xml:space="preserve">Posebni ciljevi u pogledu objavljivanja </w:t>
      </w:r>
      <w:bookmarkEnd w:id="57"/>
    </w:p>
    <w:p w14:paraId="4DAF6500" w14:textId="32EDFCBD" w:rsidR="00014FB0" w:rsidRPr="00EF5D0A" w:rsidRDefault="00135517">
      <w:pPr>
        <w:pStyle w:val="IASBNormalnpara"/>
        <w:rPr>
          <w:lang w:val="hr-HR"/>
        </w:rPr>
      </w:pPr>
      <w:r>
        <w:rPr>
          <w:lang w:val="hr-HR"/>
        </w:rPr>
        <w:t>OZ</w:t>
      </w:r>
      <w:r w:rsidR="007F50EE">
        <w:rPr>
          <w:lang w:val="hr-HR"/>
        </w:rPr>
        <w:t>.</w:t>
      </w:r>
      <w:r w:rsidR="001C3CBD" w:rsidRPr="00EF5D0A">
        <w:rPr>
          <w:lang w:val="hr-HR"/>
        </w:rPr>
        <w:t>39M</w:t>
      </w:r>
      <w:r w:rsidR="001C3CBD" w:rsidRPr="00EF5D0A">
        <w:rPr>
          <w:lang w:val="hr-HR"/>
        </w:rPr>
        <w:tab/>
      </w:r>
      <w:r w:rsidR="007363CF">
        <w:rPr>
          <w:lang w:val="hr-HR"/>
        </w:rPr>
        <w:t>Pri izradi predmetnih izmjena i dopuna, Odbor je</w:t>
      </w:r>
      <w:r w:rsidR="002E2FE9">
        <w:rPr>
          <w:lang w:val="hr-HR"/>
        </w:rPr>
        <w:t xml:space="preserve"> izvršio konsultacije s investitorima i računarski pregledao javno dostupne finansijske izvještaje. Kroz svoje aktivnosti </w:t>
      </w:r>
      <w:r w:rsidR="00B853E1">
        <w:rPr>
          <w:lang w:val="hr-HR"/>
        </w:rPr>
        <w:t>konsultacija</w:t>
      </w:r>
      <w:r w:rsidR="002E2FE9">
        <w:rPr>
          <w:lang w:val="hr-HR"/>
        </w:rPr>
        <w:t xml:space="preserve"> i istraživanja, utvrdili su da investitori moraju razumjeti efekte ugovora </w:t>
      </w:r>
      <w:r w:rsidR="00B853E1">
        <w:rPr>
          <w:lang w:val="hr-HR"/>
        </w:rPr>
        <w:t xml:space="preserve">o </w:t>
      </w:r>
      <w:r w:rsidR="002E2FE9">
        <w:rPr>
          <w:lang w:val="hr-HR"/>
        </w:rPr>
        <w:t>električn</w:t>
      </w:r>
      <w:r w:rsidR="00B853E1">
        <w:rPr>
          <w:lang w:val="hr-HR"/>
        </w:rPr>
        <w:t>oj</w:t>
      </w:r>
      <w:r w:rsidR="002E2FE9">
        <w:rPr>
          <w:lang w:val="hr-HR"/>
        </w:rPr>
        <w:t xml:space="preserve"> energij</w:t>
      </w:r>
      <w:r w:rsidR="00B853E1">
        <w:rPr>
          <w:lang w:val="hr-HR"/>
        </w:rPr>
        <w:t xml:space="preserve">i </w:t>
      </w:r>
      <w:r w:rsidR="002E2FE9">
        <w:rPr>
          <w:lang w:val="hr-HR"/>
        </w:rPr>
        <w:t xml:space="preserve">iz </w:t>
      </w:r>
      <w:r w:rsidR="00B853E1">
        <w:rPr>
          <w:lang w:val="hr-HR"/>
        </w:rPr>
        <w:t xml:space="preserve">izvora zavisnih od </w:t>
      </w:r>
      <w:r w:rsidR="002E2FE9">
        <w:rPr>
          <w:lang w:val="hr-HR"/>
        </w:rPr>
        <w:t xml:space="preserve">prirodnih </w:t>
      </w:r>
      <w:r w:rsidR="00B853E1">
        <w:rPr>
          <w:lang w:val="hr-HR"/>
        </w:rPr>
        <w:t>uslova</w:t>
      </w:r>
      <w:r w:rsidR="002E2FE9">
        <w:rPr>
          <w:lang w:val="hr-HR"/>
        </w:rPr>
        <w:t xml:space="preserve"> na</w:t>
      </w:r>
      <w:r w:rsidR="001C3CBD" w:rsidRPr="00EF5D0A">
        <w:rPr>
          <w:lang w:val="hr-HR"/>
        </w:rPr>
        <w:t>:</w:t>
      </w:r>
    </w:p>
    <w:p w14:paraId="5CC2873E" w14:textId="418F3F6E" w:rsidR="00014FB0" w:rsidRPr="00EF5D0A" w:rsidRDefault="001C3CBD">
      <w:pPr>
        <w:pStyle w:val="IASBNormalnparaL1"/>
        <w:rPr>
          <w:lang w:val="hr-HR"/>
        </w:rPr>
      </w:pPr>
      <w:r w:rsidRPr="00EF5D0A">
        <w:rPr>
          <w:lang w:val="hr-HR"/>
        </w:rPr>
        <w:t>(a)</w:t>
      </w:r>
      <w:r w:rsidRPr="00EF5D0A">
        <w:rPr>
          <w:lang w:val="hr-HR"/>
        </w:rPr>
        <w:tab/>
      </w:r>
      <w:r w:rsidR="002E2FE9">
        <w:rPr>
          <w:lang w:val="hr-HR"/>
        </w:rPr>
        <w:t>finansijsk</w:t>
      </w:r>
      <w:r w:rsidR="00B853E1">
        <w:rPr>
          <w:lang w:val="hr-HR"/>
        </w:rPr>
        <w:t xml:space="preserve">u uspješnost </w:t>
      </w:r>
      <w:r w:rsidR="002E2FE9">
        <w:rPr>
          <w:lang w:val="hr-HR"/>
        </w:rPr>
        <w:t xml:space="preserve">subjekta u izvještajnom periodu; i </w:t>
      </w:r>
    </w:p>
    <w:p w14:paraId="2DCB31FD" w14:textId="5532122A" w:rsidR="00014FB0" w:rsidRPr="00EF5D0A" w:rsidRDefault="001C3CBD">
      <w:pPr>
        <w:pStyle w:val="IASBNormalnparaL1"/>
        <w:rPr>
          <w:lang w:val="hr-HR"/>
        </w:rPr>
      </w:pPr>
      <w:r w:rsidRPr="00EF5D0A">
        <w:rPr>
          <w:lang w:val="hr-HR"/>
        </w:rPr>
        <w:t>(b)</w:t>
      </w:r>
      <w:r w:rsidRPr="00EF5D0A">
        <w:rPr>
          <w:lang w:val="hr-HR"/>
        </w:rPr>
        <w:tab/>
      </w:r>
      <w:r w:rsidR="002E2FE9">
        <w:rPr>
          <w:lang w:val="hr-HR"/>
        </w:rPr>
        <w:t xml:space="preserve">iznos, termine i neizvjesnost budućih novčanih tokova subjekta. </w:t>
      </w:r>
    </w:p>
    <w:p w14:paraId="67496FEE" w14:textId="247182D8" w:rsidR="00014FB0" w:rsidRPr="00EF5D0A" w:rsidRDefault="00135517">
      <w:pPr>
        <w:pStyle w:val="IASBNormalnpara"/>
        <w:rPr>
          <w:lang w:val="hr-HR"/>
        </w:rPr>
      </w:pPr>
      <w:r>
        <w:rPr>
          <w:lang w:val="hr-HR"/>
        </w:rPr>
        <w:t>OZ</w:t>
      </w:r>
      <w:r w:rsidR="001C3CBD" w:rsidRPr="00EF5D0A">
        <w:rPr>
          <w:lang w:val="hr-HR"/>
        </w:rPr>
        <w:t>39N</w:t>
      </w:r>
      <w:r w:rsidR="001C3CBD" w:rsidRPr="00EF5D0A">
        <w:rPr>
          <w:lang w:val="hr-HR"/>
        </w:rPr>
        <w:tab/>
      </w:r>
      <w:r w:rsidR="00BC2647">
        <w:rPr>
          <w:lang w:val="hr-HR"/>
        </w:rPr>
        <w:t xml:space="preserve">Zasnovano na tim informacijama, Odbor je u tačku 30.A MSFI-ja 7 ugradio posebne ciljeve u pogledu objavljivanja koji se odnose na ugovore </w:t>
      </w:r>
      <w:r w:rsidR="00B853E1">
        <w:rPr>
          <w:lang w:val="hr-HR"/>
        </w:rPr>
        <w:t>o</w:t>
      </w:r>
      <w:r w:rsidR="00BC2647">
        <w:rPr>
          <w:lang w:val="hr-HR"/>
        </w:rPr>
        <w:t xml:space="preserve"> električn</w:t>
      </w:r>
      <w:r w:rsidR="00B853E1">
        <w:rPr>
          <w:lang w:val="hr-HR"/>
        </w:rPr>
        <w:t>oj</w:t>
      </w:r>
      <w:r w:rsidR="00BC2647">
        <w:rPr>
          <w:lang w:val="hr-HR"/>
        </w:rPr>
        <w:t xml:space="preserve"> energij</w:t>
      </w:r>
      <w:r w:rsidR="00B853E1">
        <w:rPr>
          <w:lang w:val="hr-HR"/>
        </w:rPr>
        <w:t>i</w:t>
      </w:r>
      <w:r w:rsidR="00BC2647">
        <w:rPr>
          <w:lang w:val="hr-HR"/>
        </w:rPr>
        <w:t xml:space="preserve"> iz </w:t>
      </w:r>
      <w:r w:rsidR="00B853E1">
        <w:rPr>
          <w:lang w:val="hr-HR"/>
        </w:rPr>
        <w:t xml:space="preserve">izvora zavisnih od </w:t>
      </w:r>
      <w:r w:rsidR="00BC2647">
        <w:rPr>
          <w:lang w:val="hr-HR"/>
        </w:rPr>
        <w:t xml:space="preserve">prirodnih </w:t>
      </w:r>
      <w:r w:rsidR="00B853E1">
        <w:rPr>
          <w:lang w:val="hr-HR"/>
        </w:rPr>
        <w:t>uslova</w:t>
      </w:r>
      <w:r w:rsidR="00BC2647">
        <w:rPr>
          <w:lang w:val="hr-HR"/>
        </w:rPr>
        <w:t xml:space="preserve"> koji se obračunavaju kao izvršni ugovori nakon primjene zahtjeva iz tačaka </w:t>
      </w:r>
      <w:r w:rsidR="001C3CBD" w:rsidRPr="00EF5D0A">
        <w:rPr>
          <w:lang w:val="hr-HR"/>
        </w:rPr>
        <w:t>B2.7</w:t>
      </w:r>
      <w:r w:rsidR="00BC2647">
        <w:rPr>
          <w:lang w:val="hr-HR"/>
        </w:rPr>
        <w:t xml:space="preserve"> i </w:t>
      </w:r>
      <w:r w:rsidR="001C3CBD" w:rsidRPr="00EF5D0A">
        <w:rPr>
          <w:lang w:val="hr-HR"/>
        </w:rPr>
        <w:t xml:space="preserve">B2.8 </w:t>
      </w:r>
      <w:r w:rsidR="00BC2647">
        <w:rPr>
          <w:lang w:val="hr-HR"/>
        </w:rPr>
        <w:t>MSFI-ja</w:t>
      </w:r>
      <w:r w:rsidR="001C3CBD" w:rsidRPr="00EF5D0A">
        <w:rPr>
          <w:lang w:val="hr-HR"/>
        </w:rPr>
        <w:t xml:space="preserve"> 9. </w:t>
      </w:r>
      <w:r w:rsidR="00BC2647">
        <w:rPr>
          <w:lang w:val="hr-HR"/>
        </w:rPr>
        <w:t>Odbor</w:t>
      </w:r>
      <w:r w:rsidR="001C3CBD" w:rsidRPr="00EF5D0A">
        <w:rPr>
          <w:lang w:val="hr-HR"/>
        </w:rPr>
        <w:t>:</w:t>
      </w:r>
    </w:p>
    <w:p w14:paraId="0757E012" w14:textId="6778B7B3" w:rsidR="00014FB0" w:rsidRPr="00EF5D0A" w:rsidRDefault="001C3CBD">
      <w:pPr>
        <w:pStyle w:val="IASBNormalnparaL1"/>
        <w:rPr>
          <w:lang w:val="hr-HR"/>
        </w:rPr>
      </w:pPr>
      <w:r w:rsidRPr="00EF5D0A">
        <w:rPr>
          <w:lang w:val="hr-HR"/>
        </w:rPr>
        <w:t>(a)</w:t>
      </w:r>
      <w:r w:rsidRPr="00EF5D0A">
        <w:rPr>
          <w:lang w:val="hr-HR"/>
        </w:rPr>
        <w:tab/>
      </w:r>
      <w:r w:rsidR="00BC2647">
        <w:rPr>
          <w:lang w:val="hr-HR"/>
        </w:rPr>
        <w:t xml:space="preserve">nije dodavao opći cilj u pogledu objavljivanja jer tačke 7. i 31. MSFI-ja 7 već uređuju takve ciljeve; </w:t>
      </w:r>
    </w:p>
    <w:p w14:paraId="513BC783" w14:textId="6780A935" w:rsidR="00014FB0" w:rsidRPr="00EF5D0A" w:rsidRDefault="001C3CBD">
      <w:pPr>
        <w:pStyle w:val="IASBNormalnparaL1"/>
        <w:rPr>
          <w:lang w:val="hr-HR"/>
        </w:rPr>
      </w:pPr>
      <w:r w:rsidRPr="00EF5D0A">
        <w:rPr>
          <w:lang w:val="hr-HR"/>
        </w:rPr>
        <w:t>(b)</w:t>
      </w:r>
      <w:r w:rsidRPr="00EF5D0A">
        <w:rPr>
          <w:lang w:val="hr-HR"/>
        </w:rPr>
        <w:tab/>
      </w:r>
      <w:r w:rsidR="00BC2647">
        <w:rPr>
          <w:lang w:val="hr-HR"/>
        </w:rPr>
        <w:t xml:space="preserve">dodao je zahtjevu tačku </w:t>
      </w:r>
      <w:r w:rsidRPr="00EF5D0A">
        <w:rPr>
          <w:lang w:val="hr-HR"/>
        </w:rPr>
        <w:t>30</w:t>
      </w:r>
      <w:r w:rsidR="00BC2647">
        <w:rPr>
          <w:lang w:val="hr-HR"/>
        </w:rPr>
        <w:t>.</w:t>
      </w:r>
      <w:r w:rsidRPr="00EF5D0A">
        <w:rPr>
          <w:lang w:val="hr-HR"/>
        </w:rPr>
        <w:t xml:space="preserve">B </w:t>
      </w:r>
      <w:r w:rsidR="00BC2647">
        <w:rPr>
          <w:lang w:val="hr-HR"/>
        </w:rPr>
        <w:t>MSFI-ja</w:t>
      </w:r>
      <w:r w:rsidRPr="00EF5D0A">
        <w:rPr>
          <w:lang w:val="hr-HR"/>
        </w:rPr>
        <w:t xml:space="preserve"> 7 </w:t>
      </w:r>
      <w:r w:rsidR="00BC2647">
        <w:rPr>
          <w:lang w:val="hr-HR"/>
        </w:rPr>
        <w:t xml:space="preserve">da su subjekti dužni, za ugovore </w:t>
      </w:r>
      <w:r w:rsidR="00B853E1">
        <w:rPr>
          <w:lang w:val="hr-HR"/>
        </w:rPr>
        <w:t>o</w:t>
      </w:r>
      <w:r w:rsidR="00BC2647">
        <w:rPr>
          <w:lang w:val="hr-HR"/>
        </w:rPr>
        <w:t xml:space="preserve"> električn</w:t>
      </w:r>
      <w:r w:rsidR="00B853E1">
        <w:rPr>
          <w:lang w:val="hr-HR"/>
        </w:rPr>
        <w:t>oj</w:t>
      </w:r>
      <w:r w:rsidR="00BC2647">
        <w:rPr>
          <w:lang w:val="hr-HR"/>
        </w:rPr>
        <w:t xml:space="preserve"> energij</w:t>
      </w:r>
      <w:r w:rsidR="00B853E1">
        <w:rPr>
          <w:lang w:val="hr-HR"/>
        </w:rPr>
        <w:t>i</w:t>
      </w:r>
      <w:r w:rsidR="00BC2647">
        <w:rPr>
          <w:lang w:val="hr-HR"/>
        </w:rPr>
        <w:t xml:space="preserve"> iz</w:t>
      </w:r>
      <w:r w:rsidR="00B853E1">
        <w:rPr>
          <w:lang w:val="hr-HR"/>
        </w:rPr>
        <w:t xml:space="preserve"> izvora zavisnih od</w:t>
      </w:r>
      <w:r w:rsidR="00BC2647">
        <w:rPr>
          <w:lang w:val="hr-HR"/>
        </w:rPr>
        <w:t xml:space="preserve"> prirodnih </w:t>
      </w:r>
      <w:r w:rsidR="00B853E1">
        <w:rPr>
          <w:lang w:val="hr-HR"/>
        </w:rPr>
        <w:t>uslova</w:t>
      </w:r>
      <w:r w:rsidR="00BC2647">
        <w:rPr>
          <w:lang w:val="hr-HR"/>
        </w:rPr>
        <w:t xml:space="preserve"> koje </w:t>
      </w:r>
      <w:r w:rsidR="00B853E1">
        <w:rPr>
          <w:lang w:val="hr-HR"/>
        </w:rPr>
        <w:t>odrede</w:t>
      </w:r>
      <w:r w:rsidR="00BC2647">
        <w:rPr>
          <w:lang w:val="hr-HR"/>
        </w:rPr>
        <w:t xml:space="preserve"> u odnos zaštite u skladu sa tačkom 6.10.1 MSFI-ja 9, razdvojiti informacije koje objavljuju prema tački </w:t>
      </w:r>
      <w:r w:rsidRPr="00EF5D0A">
        <w:rPr>
          <w:lang w:val="hr-HR"/>
        </w:rPr>
        <w:t>23</w:t>
      </w:r>
      <w:r w:rsidR="00BC2647">
        <w:rPr>
          <w:lang w:val="hr-HR"/>
        </w:rPr>
        <w:t>.</w:t>
      </w:r>
      <w:r w:rsidRPr="00EF5D0A">
        <w:rPr>
          <w:lang w:val="hr-HR"/>
        </w:rPr>
        <w:t xml:space="preserve">A </w:t>
      </w:r>
      <w:r w:rsidR="00BC2647">
        <w:rPr>
          <w:lang w:val="hr-HR"/>
        </w:rPr>
        <w:t>MSFI-ja</w:t>
      </w:r>
      <w:r w:rsidRPr="00EF5D0A">
        <w:rPr>
          <w:lang w:val="hr-HR"/>
        </w:rPr>
        <w:t xml:space="preserve"> 7. </w:t>
      </w:r>
      <w:r w:rsidR="00BC2647">
        <w:rPr>
          <w:lang w:val="hr-HR"/>
        </w:rPr>
        <w:t>Namjera tačke</w:t>
      </w:r>
      <w:r w:rsidRPr="00EF5D0A">
        <w:rPr>
          <w:lang w:val="hr-HR"/>
        </w:rPr>
        <w:t xml:space="preserve"> 23</w:t>
      </w:r>
      <w:r w:rsidR="00BC2647">
        <w:rPr>
          <w:lang w:val="hr-HR"/>
        </w:rPr>
        <w:t>.</w:t>
      </w:r>
      <w:r w:rsidRPr="00EF5D0A">
        <w:rPr>
          <w:lang w:val="hr-HR"/>
        </w:rPr>
        <w:t xml:space="preserve">A </w:t>
      </w:r>
      <w:r w:rsidR="00BC2647">
        <w:rPr>
          <w:lang w:val="hr-HR"/>
        </w:rPr>
        <w:t>MSFI-ja</w:t>
      </w:r>
      <w:r w:rsidRPr="00EF5D0A">
        <w:rPr>
          <w:lang w:val="hr-HR"/>
        </w:rPr>
        <w:t xml:space="preserve"> 7 </w:t>
      </w:r>
      <w:r w:rsidR="00BC2647">
        <w:rPr>
          <w:lang w:val="hr-HR"/>
        </w:rPr>
        <w:t>je da se investitorima omogući da procijene odredbe i uslove instrumenata zaštite i to na koji način se oni odražavaju na iznos, termine i neizvjesnost budućih novčanih tokova subjekta.</w:t>
      </w:r>
      <w:r w:rsidRPr="00EF5D0A">
        <w:rPr>
          <w:lang w:val="hr-HR"/>
        </w:rPr>
        <w:t xml:space="preserve"> </w:t>
      </w:r>
      <w:r w:rsidR="00FD1A50">
        <w:rPr>
          <w:lang w:val="hr-HR"/>
        </w:rPr>
        <w:t xml:space="preserve">Odbor je smatrao da se zahtijevanjem razdvajanja informacija za ugovore </w:t>
      </w:r>
      <w:r w:rsidR="00B853E1">
        <w:rPr>
          <w:lang w:val="hr-HR"/>
        </w:rPr>
        <w:t>o</w:t>
      </w:r>
      <w:r w:rsidR="00FD1A50">
        <w:rPr>
          <w:lang w:val="hr-HR"/>
        </w:rPr>
        <w:t xml:space="preserve"> električn</w:t>
      </w:r>
      <w:r w:rsidR="00B853E1">
        <w:rPr>
          <w:lang w:val="hr-HR"/>
        </w:rPr>
        <w:t>oj</w:t>
      </w:r>
      <w:r w:rsidR="00FD1A50">
        <w:rPr>
          <w:lang w:val="hr-HR"/>
        </w:rPr>
        <w:t xml:space="preserve"> energij</w:t>
      </w:r>
      <w:r w:rsidR="00B853E1">
        <w:rPr>
          <w:lang w:val="hr-HR"/>
        </w:rPr>
        <w:t>i</w:t>
      </w:r>
      <w:r w:rsidR="00FD1A50">
        <w:rPr>
          <w:lang w:val="hr-HR"/>
        </w:rPr>
        <w:t xml:space="preserve"> iz </w:t>
      </w:r>
      <w:r w:rsidR="00B853E1">
        <w:rPr>
          <w:lang w:val="hr-HR"/>
        </w:rPr>
        <w:t xml:space="preserve">izvora zavisnih od </w:t>
      </w:r>
      <w:r w:rsidR="00FD1A50">
        <w:rPr>
          <w:lang w:val="hr-HR"/>
        </w:rPr>
        <w:t xml:space="preserve">prirodnih </w:t>
      </w:r>
      <w:r w:rsidR="00B853E1">
        <w:rPr>
          <w:lang w:val="hr-HR"/>
        </w:rPr>
        <w:t>uslova</w:t>
      </w:r>
      <w:r w:rsidR="00FD1A50">
        <w:rPr>
          <w:lang w:val="hr-HR"/>
        </w:rPr>
        <w:t xml:space="preserve"> </w:t>
      </w:r>
      <w:r w:rsidR="00B853E1">
        <w:rPr>
          <w:lang w:val="hr-HR"/>
        </w:rPr>
        <w:t>od</w:t>
      </w:r>
      <w:r w:rsidR="00FD1A50">
        <w:rPr>
          <w:lang w:val="hr-HR"/>
        </w:rPr>
        <w:t xml:space="preserve"> drugih zahtjeva u vezi sa objavljivanjima iz MSFI-ja 7 i MSFI-ja 13 ispunjavaju ciljevi u pogledu objavljivanja iz tačke </w:t>
      </w:r>
      <w:r w:rsidR="00135517">
        <w:rPr>
          <w:lang w:val="hr-HR"/>
        </w:rPr>
        <w:t>OZ</w:t>
      </w:r>
      <w:r w:rsidR="00B853E1">
        <w:rPr>
          <w:lang w:val="hr-HR"/>
        </w:rPr>
        <w:t>.</w:t>
      </w:r>
      <w:r w:rsidRPr="00EF5D0A">
        <w:rPr>
          <w:lang w:val="hr-HR"/>
        </w:rPr>
        <w:t>39M</w:t>
      </w:r>
      <w:r w:rsidR="00674A51">
        <w:rPr>
          <w:lang w:val="hr-HR"/>
        </w:rPr>
        <w:t xml:space="preserve">; </w:t>
      </w:r>
    </w:p>
    <w:p w14:paraId="7D61D689" w14:textId="4DE83603" w:rsidR="00014FB0" w:rsidRPr="00EF5D0A" w:rsidRDefault="001C3CBD">
      <w:pPr>
        <w:pStyle w:val="IASBNormalnparaL1"/>
        <w:rPr>
          <w:lang w:val="hr-HR"/>
        </w:rPr>
      </w:pPr>
      <w:r w:rsidRPr="00EF5D0A">
        <w:rPr>
          <w:lang w:val="hr-HR"/>
        </w:rPr>
        <w:t>(c)</w:t>
      </w:r>
      <w:r w:rsidRPr="00EF5D0A">
        <w:rPr>
          <w:lang w:val="hr-HR"/>
        </w:rPr>
        <w:tab/>
      </w:r>
      <w:r w:rsidR="00674A51">
        <w:rPr>
          <w:lang w:val="hr-HR"/>
        </w:rPr>
        <w:t xml:space="preserve">nije dodavao nikakve dalje zahtjeve o objedinjavanju i razdvajanju jer su objavljivanja koja podliježu objedinjavanju i razdvajanju već obrađena u tački </w:t>
      </w:r>
      <w:r w:rsidRPr="00EF5D0A">
        <w:rPr>
          <w:lang w:val="hr-HR"/>
        </w:rPr>
        <w:t>B</w:t>
      </w:r>
      <w:r w:rsidR="00B853E1">
        <w:rPr>
          <w:lang w:val="hr-HR"/>
        </w:rPr>
        <w:t>.</w:t>
      </w:r>
      <w:r w:rsidRPr="00EF5D0A">
        <w:rPr>
          <w:lang w:val="hr-HR"/>
        </w:rPr>
        <w:t xml:space="preserve">3 </w:t>
      </w:r>
      <w:r w:rsidR="00674A51">
        <w:rPr>
          <w:lang w:val="hr-HR"/>
        </w:rPr>
        <w:t>MSFI-ja</w:t>
      </w:r>
      <w:r w:rsidRPr="00EF5D0A">
        <w:rPr>
          <w:lang w:val="hr-HR"/>
        </w:rPr>
        <w:t xml:space="preserve"> 7.</w:t>
      </w:r>
      <w:r w:rsidR="00674A51">
        <w:rPr>
          <w:lang w:val="hr-HR"/>
        </w:rPr>
        <w:t xml:space="preserve"> Nije namjera Odbora da subjekti objavljuju informacije za svaki ugovor zasebno. </w:t>
      </w:r>
    </w:p>
    <w:p w14:paraId="2D703FD4" w14:textId="4A33FF68" w:rsidR="00014FB0" w:rsidRPr="00EF5D0A" w:rsidRDefault="00833EA5">
      <w:pPr>
        <w:pStyle w:val="IASBSectionTitle3Ind"/>
        <w:rPr>
          <w:lang w:val="hr-HR"/>
        </w:rPr>
      </w:pPr>
      <w:bookmarkStart w:id="58" w:name="unique_177"/>
      <w:r>
        <w:rPr>
          <w:lang w:val="hr-HR"/>
        </w:rPr>
        <w:t xml:space="preserve">Pojedinačne informacije </w:t>
      </w:r>
      <w:bookmarkEnd w:id="58"/>
    </w:p>
    <w:p w14:paraId="464D7DCF" w14:textId="6B7B90BB" w:rsidR="00014FB0" w:rsidRPr="00EF5D0A" w:rsidRDefault="00135517">
      <w:pPr>
        <w:pStyle w:val="IASBNormalnpara"/>
        <w:rPr>
          <w:lang w:val="hr-HR"/>
        </w:rPr>
      </w:pPr>
      <w:r>
        <w:rPr>
          <w:lang w:val="hr-HR"/>
        </w:rPr>
        <w:t>OZ</w:t>
      </w:r>
      <w:r w:rsidR="00B853E1">
        <w:rPr>
          <w:lang w:val="hr-HR"/>
        </w:rPr>
        <w:t>.</w:t>
      </w:r>
      <w:r w:rsidR="001C3CBD" w:rsidRPr="00EF5D0A">
        <w:rPr>
          <w:lang w:val="hr-HR"/>
        </w:rPr>
        <w:t>39O</w:t>
      </w:r>
      <w:r w:rsidR="001C3CBD" w:rsidRPr="00EF5D0A">
        <w:rPr>
          <w:lang w:val="hr-HR"/>
        </w:rPr>
        <w:tab/>
        <w:t>Invest</w:t>
      </w:r>
      <w:r w:rsidR="00833EA5">
        <w:rPr>
          <w:lang w:val="hr-HR"/>
        </w:rPr>
        <w:t>itori su naveli pojedinačne informacije koje bi im omogućil</w:t>
      </w:r>
      <w:r w:rsidR="00A32EC8">
        <w:rPr>
          <w:lang w:val="hr-HR"/>
        </w:rPr>
        <w:t>e</w:t>
      </w:r>
      <w:r w:rsidR="00833EA5">
        <w:rPr>
          <w:lang w:val="hr-HR"/>
        </w:rPr>
        <w:t xml:space="preserve"> da razumiju efekte ugovora </w:t>
      </w:r>
      <w:r w:rsidR="00A32EC8">
        <w:rPr>
          <w:lang w:val="hr-HR"/>
        </w:rPr>
        <w:t>o</w:t>
      </w:r>
      <w:r w:rsidR="00833EA5">
        <w:rPr>
          <w:lang w:val="hr-HR"/>
        </w:rPr>
        <w:t xml:space="preserve"> električn</w:t>
      </w:r>
      <w:r w:rsidR="00A32EC8">
        <w:rPr>
          <w:lang w:val="hr-HR"/>
        </w:rPr>
        <w:t>oj</w:t>
      </w:r>
      <w:r w:rsidR="00833EA5">
        <w:rPr>
          <w:lang w:val="hr-HR"/>
        </w:rPr>
        <w:t xml:space="preserve"> energij</w:t>
      </w:r>
      <w:r w:rsidR="00A32EC8">
        <w:rPr>
          <w:lang w:val="hr-HR"/>
        </w:rPr>
        <w:t>i</w:t>
      </w:r>
      <w:r w:rsidR="00833EA5">
        <w:rPr>
          <w:lang w:val="hr-HR"/>
        </w:rPr>
        <w:t xml:space="preserve"> iz </w:t>
      </w:r>
      <w:r w:rsidR="00A32EC8">
        <w:rPr>
          <w:lang w:val="hr-HR"/>
        </w:rPr>
        <w:t xml:space="preserve">izvora zavisnih od </w:t>
      </w:r>
      <w:r w:rsidR="00833EA5">
        <w:rPr>
          <w:lang w:val="hr-HR"/>
        </w:rPr>
        <w:t xml:space="preserve">prirodnih </w:t>
      </w:r>
      <w:r w:rsidR="00A32EC8">
        <w:rPr>
          <w:lang w:val="hr-HR"/>
        </w:rPr>
        <w:t>uslova</w:t>
      </w:r>
      <w:r w:rsidR="00833EA5">
        <w:rPr>
          <w:lang w:val="hr-HR"/>
        </w:rPr>
        <w:t xml:space="preserve"> koji se obračunavaju kao izvršni ugovori na finansijske izvještaje subjekta, poput: </w:t>
      </w:r>
    </w:p>
    <w:p w14:paraId="25E04737" w14:textId="3BB88D30" w:rsidR="00014FB0" w:rsidRPr="00EF5D0A" w:rsidRDefault="001C3CBD">
      <w:pPr>
        <w:pStyle w:val="IASBNormalnparaL1"/>
        <w:rPr>
          <w:lang w:val="hr-HR"/>
        </w:rPr>
      </w:pPr>
      <w:r w:rsidRPr="00EF5D0A">
        <w:rPr>
          <w:lang w:val="hr-HR"/>
        </w:rPr>
        <w:t>(a)</w:t>
      </w:r>
      <w:r w:rsidRPr="00EF5D0A">
        <w:rPr>
          <w:lang w:val="hr-HR"/>
        </w:rPr>
        <w:tab/>
      </w:r>
      <w:r w:rsidR="00833EA5">
        <w:rPr>
          <w:lang w:val="hr-HR"/>
        </w:rPr>
        <w:t xml:space="preserve">vrsta cijena (da li se radi o fiksnim ili o promjenjivim cijenama); </w:t>
      </w:r>
    </w:p>
    <w:p w14:paraId="2818DABB" w14:textId="151C92D2" w:rsidR="00014FB0" w:rsidRPr="00EF5D0A" w:rsidRDefault="001C3CBD">
      <w:pPr>
        <w:pStyle w:val="IASBNormalnparaL1"/>
        <w:rPr>
          <w:lang w:val="hr-HR"/>
        </w:rPr>
      </w:pPr>
      <w:r w:rsidRPr="00EF5D0A">
        <w:rPr>
          <w:lang w:val="hr-HR"/>
        </w:rPr>
        <w:t>(b)</w:t>
      </w:r>
      <w:r w:rsidRPr="00EF5D0A">
        <w:rPr>
          <w:lang w:val="hr-HR"/>
        </w:rPr>
        <w:tab/>
      </w:r>
      <w:r w:rsidR="00833EA5">
        <w:rPr>
          <w:lang w:val="hr-HR"/>
        </w:rPr>
        <w:t xml:space="preserve">dogovorene ugovorne cijene </w:t>
      </w:r>
      <w:r w:rsidRPr="00EF5D0A">
        <w:rPr>
          <w:lang w:val="hr-HR"/>
        </w:rPr>
        <w:t>(</w:t>
      </w:r>
      <w:r w:rsidR="00833EA5">
        <w:rPr>
          <w:lang w:val="hr-HR"/>
        </w:rPr>
        <w:t xml:space="preserve">i cijene koja prevladava na tržištu na datum izvještavanja); </w:t>
      </w:r>
    </w:p>
    <w:p w14:paraId="5C8BF1ED" w14:textId="7CEB37BF" w:rsidR="00014FB0" w:rsidRPr="00EF5D0A" w:rsidRDefault="001C3CBD">
      <w:pPr>
        <w:pStyle w:val="IASBNormalnparaL1"/>
        <w:rPr>
          <w:lang w:val="hr-HR"/>
        </w:rPr>
      </w:pPr>
      <w:r w:rsidRPr="00EF5D0A">
        <w:rPr>
          <w:lang w:val="hr-HR"/>
        </w:rPr>
        <w:t>(c)</w:t>
      </w:r>
      <w:r w:rsidRPr="00EF5D0A">
        <w:rPr>
          <w:lang w:val="hr-HR"/>
        </w:rPr>
        <w:tab/>
      </w:r>
      <w:r w:rsidR="00833EA5">
        <w:rPr>
          <w:lang w:val="hr-HR"/>
        </w:rPr>
        <w:t xml:space="preserve">omjera takvih ugovora u odnosu na sve ugovore subjekta o prodajama ili nabavkama iste nefinansijske stavke; </w:t>
      </w:r>
    </w:p>
    <w:p w14:paraId="7FCD0190" w14:textId="55F08973" w:rsidR="00014FB0" w:rsidRPr="00EF5D0A" w:rsidRDefault="001C3CBD">
      <w:pPr>
        <w:pStyle w:val="IASBNormalnparaL1"/>
        <w:rPr>
          <w:lang w:val="hr-HR"/>
        </w:rPr>
      </w:pPr>
      <w:r w:rsidRPr="00EF5D0A">
        <w:rPr>
          <w:lang w:val="hr-HR"/>
        </w:rPr>
        <w:t>(d)</w:t>
      </w:r>
      <w:r w:rsidRPr="00EF5D0A">
        <w:rPr>
          <w:lang w:val="hr-HR"/>
        </w:rPr>
        <w:tab/>
      </w:r>
      <w:r w:rsidR="00833EA5">
        <w:rPr>
          <w:lang w:val="hr-HR"/>
        </w:rPr>
        <w:t xml:space="preserve">efekata ugovora na prihode i rashode subjekta tokom izvještajnog perioda (na primjer, koliko bi iznosio trošak električne energije za period da nisu sklopljeni predmetni ugovori); i </w:t>
      </w:r>
    </w:p>
    <w:p w14:paraId="76C1E3CD" w14:textId="4AB86A11" w:rsidR="00014FB0" w:rsidRPr="00EF5D0A" w:rsidRDefault="001C3CBD">
      <w:pPr>
        <w:pStyle w:val="IASBNormalnparaL1"/>
        <w:rPr>
          <w:lang w:val="hr-HR"/>
        </w:rPr>
      </w:pPr>
      <w:r w:rsidRPr="00EF5D0A">
        <w:rPr>
          <w:lang w:val="hr-HR"/>
        </w:rPr>
        <w:t>(e)</w:t>
      </w:r>
      <w:r w:rsidRPr="00EF5D0A">
        <w:rPr>
          <w:lang w:val="hr-HR"/>
        </w:rPr>
        <w:tab/>
      </w:r>
      <w:r w:rsidR="00833EA5">
        <w:rPr>
          <w:lang w:val="hr-HR"/>
        </w:rPr>
        <w:t xml:space="preserve">naznake fer vrijednosti ugovora na datum izvještavanja. </w:t>
      </w:r>
    </w:p>
    <w:p w14:paraId="074D1E4C" w14:textId="68A549DE" w:rsidR="00014FB0" w:rsidRPr="00EF5D0A" w:rsidRDefault="00135517">
      <w:pPr>
        <w:pStyle w:val="IASBNormalnpara"/>
        <w:rPr>
          <w:lang w:val="hr-HR"/>
        </w:rPr>
      </w:pPr>
      <w:r>
        <w:rPr>
          <w:lang w:val="hr-HR"/>
        </w:rPr>
        <w:t>OZ</w:t>
      </w:r>
      <w:r w:rsidR="001C3CBD" w:rsidRPr="00EF5D0A">
        <w:rPr>
          <w:lang w:val="hr-HR"/>
        </w:rPr>
        <w:t>39P</w:t>
      </w:r>
      <w:r w:rsidR="001C3CBD" w:rsidRPr="00EF5D0A">
        <w:rPr>
          <w:lang w:val="hr-HR"/>
        </w:rPr>
        <w:tab/>
      </w:r>
      <w:r w:rsidR="004A277F">
        <w:rPr>
          <w:lang w:val="hr-HR"/>
        </w:rPr>
        <w:t xml:space="preserve">Veliki broj dionika su, međutim, izrazili zabrinutost oko toga da subjekti objavljuju neke od informacija pobrojanih u tački </w:t>
      </w:r>
      <w:r>
        <w:rPr>
          <w:lang w:val="hr-HR"/>
        </w:rPr>
        <w:t>OZ</w:t>
      </w:r>
      <w:r w:rsidR="004A7FDF">
        <w:rPr>
          <w:lang w:val="hr-HR"/>
        </w:rPr>
        <w:t>.</w:t>
      </w:r>
      <w:r w:rsidR="001C3CBD" w:rsidRPr="00EF5D0A">
        <w:rPr>
          <w:lang w:val="hr-HR"/>
        </w:rPr>
        <w:t xml:space="preserve">39O. </w:t>
      </w:r>
      <w:r w:rsidR="004A277F">
        <w:rPr>
          <w:lang w:val="hr-HR"/>
        </w:rPr>
        <w:t>Brinulo ih je to da bi se izmjenama i dopunama od subjekata tražilo da objavljuju</w:t>
      </w:r>
      <w:r w:rsidR="001C3CBD" w:rsidRPr="00EF5D0A">
        <w:rPr>
          <w:lang w:val="hr-HR"/>
        </w:rPr>
        <w:t>:</w:t>
      </w:r>
    </w:p>
    <w:p w14:paraId="348FEF99" w14:textId="1E9056AB" w:rsidR="00014FB0" w:rsidRPr="00EF5D0A" w:rsidRDefault="001C3CBD">
      <w:pPr>
        <w:pStyle w:val="IASBNormalnparaL1"/>
        <w:rPr>
          <w:lang w:val="hr-HR"/>
        </w:rPr>
      </w:pPr>
      <w:r w:rsidRPr="00EF5D0A">
        <w:rPr>
          <w:lang w:val="hr-HR"/>
        </w:rPr>
        <w:t>(a)</w:t>
      </w:r>
      <w:r w:rsidRPr="00EF5D0A">
        <w:rPr>
          <w:lang w:val="hr-HR"/>
        </w:rPr>
        <w:tab/>
      </w:r>
      <w:r w:rsidR="004A277F">
        <w:rPr>
          <w:lang w:val="hr-HR"/>
        </w:rPr>
        <w:t xml:space="preserve">komercijalno osjetljive informacije (kao što su informacije o fiksnim cijenama koje su dogovorene u ugovoru); </w:t>
      </w:r>
    </w:p>
    <w:p w14:paraId="10E79DF2" w14:textId="292471E9" w:rsidR="00014FB0" w:rsidRPr="00EF5D0A" w:rsidRDefault="001C3CBD">
      <w:pPr>
        <w:pStyle w:val="IASBNormalnparaL1"/>
        <w:rPr>
          <w:lang w:val="hr-HR"/>
        </w:rPr>
      </w:pPr>
      <w:r w:rsidRPr="00EF5D0A">
        <w:rPr>
          <w:lang w:val="hr-HR"/>
        </w:rPr>
        <w:t>(b)</w:t>
      </w:r>
      <w:r w:rsidRPr="00EF5D0A">
        <w:rPr>
          <w:lang w:val="hr-HR"/>
        </w:rPr>
        <w:tab/>
      </w:r>
      <w:r w:rsidR="004A277F">
        <w:rPr>
          <w:lang w:val="hr-HR"/>
        </w:rPr>
        <w:t>„</w:t>
      </w:r>
      <w:r w:rsidRPr="00EF5D0A">
        <w:rPr>
          <w:lang w:val="hr-HR"/>
        </w:rPr>
        <w:t>pro-forma</w:t>
      </w:r>
      <w:r w:rsidR="004A277F">
        <w:rPr>
          <w:lang w:val="hr-HR"/>
        </w:rPr>
        <w:t>“</w:t>
      </w:r>
      <w:r w:rsidRPr="00EF5D0A">
        <w:rPr>
          <w:lang w:val="hr-HR"/>
        </w:rPr>
        <w:t xml:space="preserve"> </w:t>
      </w:r>
      <w:r w:rsidR="004A277F">
        <w:rPr>
          <w:lang w:val="hr-HR"/>
        </w:rPr>
        <w:t>ili</w:t>
      </w:r>
      <w:r w:rsidRPr="00EF5D0A">
        <w:rPr>
          <w:lang w:val="hr-HR"/>
        </w:rPr>
        <w:t xml:space="preserve"> </w:t>
      </w:r>
      <w:r w:rsidR="004A277F">
        <w:rPr>
          <w:lang w:val="hr-HR"/>
        </w:rPr>
        <w:t>„</w:t>
      </w:r>
      <w:r w:rsidRPr="00EF5D0A">
        <w:rPr>
          <w:lang w:val="hr-HR"/>
        </w:rPr>
        <w:t>h</w:t>
      </w:r>
      <w:r w:rsidR="004A277F">
        <w:rPr>
          <w:lang w:val="hr-HR"/>
        </w:rPr>
        <w:t xml:space="preserve">ipotetičke“ informacije o tome koliko bi iznosili prihodi ili rashodi subjekta da nisu sklopljeni predmetni ugovori. Dionici su naveli da bi takve informacije bilo i složeno sastaviti i objaviti; </w:t>
      </w:r>
    </w:p>
    <w:p w14:paraId="20A30CD5" w14:textId="6D8F253B" w:rsidR="00014FB0" w:rsidRPr="00EF5D0A" w:rsidRDefault="001C3CBD">
      <w:pPr>
        <w:pStyle w:val="IASBNormalnparaL1"/>
        <w:rPr>
          <w:lang w:val="hr-HR"/>
        </w:rPr>
      </w:pPr>
      <w:r w:rsidRPr="00EF5D0A">
        <w:rPr>
          <w:lang w:val="hr-HR"/>
        </w:rPr>
        <w:t>(c)</w:t>
      </w:r>
      <w:r w:rsidRPr="00EF5D0A">
        <w:rPr>
          <w:lang w:val="hr-HR"/>
        </w:rPr>
        <w:tab/>
        <w:t>in</w:t>
      </w:r>
      <w:r w:rsidR="004A277F">
        <w:rPr>
          <w:lang w:val="hr-HR"/>
        </w:rPr>
        <w:t xml:space="preserve">formacije o fer vrijednosti ugovora. Dionici su dovodili u pitanje to da li bi troškovi njihovog objavljivanja premašili koristi od njega jer je provođenje procjene fer vrijednosti ovakvih ugovora dosta složeno i podliježe velikoj neizvjesnosti mjerenja; </w:t>
      </w:r>
    </w:p>
    <w:p w14:paraId="2A2FF889" w14:textId="0967839E" w:rsidR="00014FB0" w:rsidRPr="00EF5D0A" w:rsidRDefault="001C3CBD">
      <w:pPr>
        <w:pStyle w:val="IASBNormalnparaL1"/>
        <w:rPr>
          <w:lang w:val="hr-HR"/>
        </w:rPr>
      </w:pPr>
      <w:r w:rsidRPr="00EF5D0A">
        <w:rPr>
          <w:lang w:val="hr-HR"/>
        </w:rPr>
        <w:t>(d)</w:t>
      </w:r>
      <w:r w:rsidRPr="00EF5D0A">
        <w:rPr>
          <w:lang w:val="hr-HR"/>
        </w:rPr>
        <w:tab/>
      </w:r>
      <w:r w:rsidR="004A277F">
        <w:rPr>
          <w:lang w:val="hr-HR"/>
        </w:rPr>
        <w:t>informacije koje su nesrazmjerne informacijama kakve se traže u odnosu na druge ugovore, događaj</w:t>
      </w:r>
      <w:r w:rsidR="004A7FDF">
        <w:rPr>
          <w:lang w:val="hr-HR"/>
        </w:rPr>
        <w:t>e</w:t>
      </w:r>
      <w:r w:rsidR="004A277F">
        <w:rPr>
          <w:lang w:val="hr-HR"/>
        </w:rPr>
        <w:t xml:space="preserve"> ili transakcije. Dionici su sugarisali da Odbor iznađe ravnotežu između potrebe za povećanjem transparentnosti o ovoj vrsti ugovora i ograničenog djelokruga projekta. U funkciji ostvarenja te ravnoteže, dionici su </w:t>
      </w:r>
      <w:r w:rsidR="004A7FDF">
        <w:rPr>
          <w:lang w:val="hr-HR"/>
        </w:rPr>
        <w:t xml:space="preserve">predložili </w:t>
      </w:r>
      <w:r w:rsidR="004A277F">
        <w:rPr>
          <w:lang w:val="hr-HR"/>
        </w:rPr>
        <w:t xml:space="preserve">da težište objavljivanja bude na jedinstvenim rizicima </w:t>
      </w:r>
      <w:r w:rsidR="004A277F">
        <w:rPr>
          <w:lang w:val="hr-HR"/>
        </w:rPr>
        <w:lastRenderedPageBreak/>
        <w:t xml:space="preserve">koji proističu iz ugovora </w:t>
      </w:r>
      <w:r w:rsidR="004A7FDF">
        <w:rPr>
          <w:lang w:val="hr-HR"/>
        </w:rPr>
        <w:t xml:space="preserve">o </w:t>
      </w:r>
      <w:r w:rsidR="004A277F">
        <w:rPr>
          <w:lang w:val="hr-HR"/>
        </w:rPr>
        <w:t>električn</w:t>
      </w:r>
      <w:r w:rsidR="004A7FDF">
        <w:rPr>
          <w:lang w:val="hr-HR"/>
        </w:rPr>
        <w:t>oj</w:t>
      </w:r>
      <w:r w:rsidR="004A277F">
        <w:rPr>
          <w:lang w:val="hr-HR"/>
        </w:rPr>
        <w:t xml:space="preserve"> energij</w:t>
      </w:r>
      <w:r w:rsidR="004A7FDF">
        <w:rPr>
          <w:lang w:val="hr-HR"/>
        </w:rPr>
        <w:t>i</w:t>
      </w:r>
      <w:r w:rsidR="004A277F">
        <w:rPr>
          <w:lang w:val="hr-HR"/>
        </w:rPr>
        <w:t xml:space="preserve"> iz </w:t>
      </w:r>
      <w:r w:rsidR="004A7FDF">
        <w:rPr>
          <w:lang w:val="hr-HR"/>
        </w:rPr>
        <w:t xml:space="preserve">izvora zavisnih od </w:t>
      </w:r>
      <w:r w:rsidR="004A277F">
        <w:rPr>
          <w:lang w:val="hr-HR"/>
        </w:rPr>
        <w:t xml:space="preserve">prirodnih </w:t>
      </w:r>
      <w:r w:rsidR="004A7FDF">
        <w:rPr>
          <w:lang w:val="hr-HR"/>
        </w:rPr>
        <w:t>uslova</w:t>
      </w:r>
      <w:r w:rsidR="004A277F">
        <w:rPr>
          <w:lang w:val="hr-HR"/>
        </w:rPr>
        <w:t xml:space="preserve"> koji se obračunavaju kao izvrši ugovori nakon primjene predmetnih izmjena i dopuna</w:t>
      </w:r>
      <w:r w:rsidR="001A2FFB">
        <w:rPr>
          <w:lang w:val="hr-HR"/>
        </w:rPr>
        <w:t xml:space="preserve">; </w:t>
      </w:r>
      <w:r w:rsidR="004A7FDF">
        <w:rPr>
          <w:lang w:val="hr-HR"/>
        </w:rPr>
        <w:t>i</w:t>
      </w:r>
    </w:p>
    <w:p w14:paraId="0D5E593E" w14:textId="42455438" w:rsidR="00014FB0" w:rsidRPr="00EF5D0A" w:rsidRDefault="001C3CBD">
      <w:pPr>
        <w:pStyle w:val="IASBNormalnparaL1"/>
        <w:rPr>
          <w:lang w:val="hr-HR"/>
        </w:rPr>
      </w:pPr>
      <w:r w:rsidRPr="00EF5D0A">
        <w:rPr>
          <w:lang w:val="hr-HR"/>
        </w:rPr>
        <w:t>(e)</w:t>
      </w:r>
      <w:r w:rsidRPr="00EF5D0A">
        <w:rPr>
          <w:lang w:val="hr-HR"/>
        </w:rPr>
        <w:tab/>
        <w:t>i</w:t>
      </w:r>
      <w:r w:rsidR="001A2FFB">
        <w:rPr>
          <w:lang w:val="hr-HR"/>
        </w:rPr>
        <w:t>nformacije koje su relevantnije za objavljivanja o održivosti.</w:t>
      </w:r>
    </w:p>
    <w:p w14:paraId="77925F36" w14:textId="46D2B289" w:rsidR="00014FB0" w:rsidRPr="00EF5D0A" w:rsidRDefault="00135517">
      <w:pPr>
        <w:pStyle w:val="IASBNormalnpara"/>
        <w:rPr>
          <w:lang w:val="hr-HR"/>
        </w:rPr>
      </w:pPr>
      <w:r>
        <w:rPr>
          <w:lang w:val="hr-HR"/>
        </w:rPr>
        <w:t>OZ</w:t>
      </w:r>
      <w:r w:rsidR="004A7FDF">
        <w:rPr>
          <w:lang w:val="hr-HR"/>
        </w:rPr>
        <w:t>.</w:t>
      </w:r>
      <w:r w:rsidR="001C3CBD" w:rsidRPr="00EF5D0A">
        <w:rPr>
          <w:lang w:val="hr-HR"/>
        </w:rPr>
        <w:t>39Q</w:t>
      </w:r>
      <w:r w:rsidR="001C3CBD" w:rsidRPr="00EF5D0A">
        <w:rPr>
          <w:lang w:val="hr-HR"/>
        </w:rPr>
        <w:tab/>
      </w:r>
      <w:r w:rsidR="001A2FFB">
        <w:rPr>
          <w:lang w:val="hr-HR"/>
        </w:rPr>
        <w:t>Po razmatranju povratnih informacija koje su opisane u tačkama</w:t>
      </w:r>
      <w:r w:rsidR="001C3CBD" w:rsidRPr="00EF5D0A">
        <w:rPr>
          <w:lang w:val="hr-HR"/>
        </w:rPr>
        <w:t xml:space="preserve"> </w:t>
      </w:r>
      <w:r w:rsidR="001A2FFB">
        <w:rPr>
          <w:lang w:val="hr-HR"/>
        </w:rPr>
        <w:t xml:space="preserve">od </w:t>
      </w:r>
      <w:r>
        <w:rPr>
          <w:lang w:val="hr-HR"/>
        </w:rPr>
        <w:t>OZ</w:t>
      </w:r>
      <w:r w:rsidR="00C50393">
        <w:rPr>
          <w:lang w:val="hr-HR"/>
        </w:rPr>
        <w:t>.</w:t>
      </w:r>
      <w:r w:rsidR="001C3CBD" w:rsidRPr="00EF5D0A">
        <w:rPr>
          <w:lang w:val="hr-HR"/>
        </w:rPr>
        <w:t>39O</w:t>
      </w:r>
      <w:r w:rsidR="001A2FFB">
        <w:rPr>
          <w:lang w:val="hr-HR"/>
        </w:rPr>
        <w:t xml:space="preserve"> do </w:t>
      </w:r>
      <w:r>
        <w:rPr>
          <w:lang w:val="hr-HR"/>
        </w:rPr>
        <w:t>OZ</w:t>
      </w:r>
      <w:r w:rsidR="00C50393">
        <w:rPr>
          <w:lang w:val="hr-HR"/>
        </w:rPr>
        <w:t>.</w:t>
      </w:r>
      <w:r w:rsidR="001C3CBD" w:rsidRPr="00EF5D0A">
        <w:rPr>
          <w:lang w:val="hr-HR"/>
        </w:rPr>
        <w:t xml:space="preserve">39P, </w:t>
      </w:r>
      <w:r w:rsidR="001A2FFB">
        <w:rPr>
          <w:lang w:val="hr-HR"/>
        </w:rPr>
        <w:t xml:space="preserve">Odbor je odlučio od subjekata tražiti da objavljuju </w:t>
      </w:r>
      <w:r w:rsidR="00F21712">
        <w:rPr>
          <w:lang w:val="hr-HR"/>
        </w:rPr>
        <w:t xml:space="preserve">pojedinačne informacije opisane u tački </w:t>
      </w:r>
      <w:r w:rsidR="001C3CBD" w:rsidRPr="00EF5D0A">
        <w:rPr>
          <w:lang w:val="hr-HR"/>
        </w:rPr>
        <w:t>30</w:t>
      </w:r>
      <w:r w:rsidR="00F21712">
        <w:rPr>
          <w:lang w:val="hr-HR"/>
        </w:rPr>
        <w:t>.</w:t>
      </w:r>
      <w:r w:rsidR="001C3CBD" w:rsidRPr="00EF5D0A">
        <w:rPr>
          <w:lang w:val="hr-HR"/>
        </w:rPr>
        <w:t xml:space="preserve">A </w:t>
      </w:r>
      <w:r w:rsidR="00F21712">
        <w:rPr>
          <w:lang w:val="hr-HR"/>
        </w:rPr>
        <w:t>MSFI-ja</w:t>
      </w:r>
      <w:r w:rsidR="001C3CBD" w:rsidRPr="00EF5D0A">
        <w:rPr>
          <w:lang w:val="hr-HR"/>
        </w:rPr>
        <w:t xml:space="preserve"> 7 </w:t>
      </w:r>
      <w:r w:rsidR="00F21712">
        <w:rPr>
          <w:lang w:val="hr-HR"/>
        </w:rPr>
        <w:t xml:space="preserve">za ugovore </w:t>
      </w:r>
      <w:r w:rsidR="00C50393">
        <w:rPr>
          <w:lang w:val="hr-HR"/>
        </w:rPr>
        <w:t xml:space="preserve">o </w:t>
      </w:r>
      <w:r w:rsidR="00F21712">
        <w:rPr>
          <w:lang w:val="hr-HR"/>
        </w:rPr>
        <w:t>električn</w:t>
      </w:r>
      <w:r w:rsidR="00C50393">
        <w:rPr>
          <w:lang w:val="hr-HR"/>
        </w:rPr>
        <w:t>oj</w:t>
      </w:r>
      <w:r w:rsidR="00F21712">
        <w:rPr>
          <w:lang w:val="hr-HR"/>
        </w:rPr>
        <w:t xml:space="preserve"> energij</w:t>
      </w:r>
      <w:r w:rsidR="00C50393">
        <w:rPr>
          <w:lang w:val="hr-HR"/>
        </w:rPr>
        <w:t>i</w:t>
      </w:r>
      <w:r w:rsidR="00F21712">
        <w:rPr>
          <w:lang w:val="hr-HR"/>
        </w:rPr>
        <w:t xml:space="preserve"> iz </w:t>
      </w:r>
      <w:r w:rsidR="00C50393">
        <w:rPr>
          <w:lang w:val="hr-HR"/>
        </w:rPr>
        <w:t xml:space="preserve">izvora zavisnih od </w:t>
      </w:r>
      <w:r w:rsidR="00F21712">
        <w:rPr>
          <w:lang w:val="hr-HR"/>
        </w:rPr>
        <w:t xml:space="preserve">prirodnih </w:t>
      </w:r>
      <w:r w:rsidR="00C50393">
        <w:rPr>
          <w:lang w:val="hr-HR"/>
        </w:rPr>
        <w:t>uslova</w:t>
      </w:r>
      <w:r w:rsidR="00F21712">
        <w:rPr>
          <w:lang w:val="hr-HR"/>
        </w:rPr>
        <w:t xml:space="preserve"> koji se obračunavaju kao izvršni ugovori nakon primjene zahtjeva iz tačaka </w:t>
      </w:r>
      <w:r w:rsidR="001C3CBD" w:rsidRPr="00EF5D0A">
        <w:rPr>
          <w:lang w:val="hr-HR"/>
        </w:rPr>
        <w:t>B2.7</w:t>
      </w:r>
      <w:r w:rsidR="00F21712">
        <w:rPr>
          <w:lang w:val="hr-HR"/>
        </w:rPr>
        <w:t xml:space="preserve"> i </w:t>
      </w:r>
      <w:r w:rsidR="001C3CBD" w:rsidRPr="00EF5D0A">
        <w:rPr>
          <w:lang w:val="hr-HR"/>
        </w:rPr>
        <w:t xml:space="preserve">B2.8 </w:t>
      </w:r>
      <w:r w:rsidR="00F21712">
        <w:rPr>
          <w:lang w:val="hr-HR"/>
        </w:rPr>
        <w:t>MSFI-ja</w:t>
      </w:r>
      <w:r w:rsidR="001C3CBD" w:rsidRPr="00EF5D0A">
        <w:rPr>
          <w:lang w:val="hr-HR"/>
        </w:rPr>
        <w:t xml:space="preserve"> 9. </w:t>
      </w:r>
      <w:r w:rsidR="00F21712">
        <w:rPr>
          <w:lang w:val="hr-HR"/>
        </w:rPr>
        <w:t xml:space="preserve">Razlozi za takvu odluku Odbora su to što: </w:t>
      </w:r>
    </w:p>
    <w:p w14:paraId="455B8397" w14:textId="0C7C4073" w:rsidR="00014FB0" w:rsidRPr="00EF5D0A" w:rsidRDefault="001C3CBD">
      <w:pPr>
        <w:pStyle w:val="IASBNormalnparaL1"/>
        <w:rPr>
          <w:lang w:val="hr-HR"/>
        </w:rPr>
      </w:pPr>
      <w:r w:rsidRPr="00EF5D0A">
        <w:rPr>
          <w:lang w:val="hr-HR"/>
        </w:rPr>
        <w:t>(a)</w:t>
      </w:r>
      <w:r w:rsidRPr="00EF5D0A">
        <w:rPr>
          <w:lang w:val="hr-HR"/>
        </w:rPr>
        <w:tab/>
      </w:r>
      <w:r w:rsidR="0004458D">
        <w:rPr>
          <w:lang w:val="hr-HR"/>
        </w:rPr>
        <w:t xml:space="preserve">podtačka (a) tačke </w:t>
      </w:r>
      <w:r w:rsidRPr="00EF5D0A">
        <w:rPr>
          <w:lang w:val="hr-HR"/>
        </w:rPr>
        <w:t>30</w:t>
      </w:r>
      <w:r w:rsidR="0004458D">
        <w:rPr>
          <w:lang w:val="hr-HR"/>
        </w:rPr>
        <w:t>.</w:t>
      </w:r>
      <w:r w:rsidRPr="00EF5D0A">
        <w:rPr>
          <w:lang w:val="hr-HR"/>
        </w:rPr>
        <w:t>A</w:t>
      </w:r>
      <w:r w:rsidR="0004458D">
        <w:rPr>
          <w:lang w:val="hr-HR"/>
        </w:rPr>
        <w:t xml:space="preserve"> nalaže subjektima da objave informacije o </w:t>
      </w:r>
      <w:r w:rsidR="008449A3">
        <w:rPr>
          <w:lang w:val="hr-HR"/>
        </w:rPr>
        <w:t>obilježjima ugovora</w:t>
      </w:r>
      <w:r w:rsidR="0004458D">
        <w:rPr>
          <w:lang w:val="hr-HR"/>
        </w:rPr>
        <w:t xml:space="preserve"> koja ih izlažu rizicima koji proizilaze iz predmetnih ugovora. Odbor je konstatovao da informacije o tim obilježjima nisu, sam</w:t>
      </w:r>
      <w:r w:rsidR="008449A3">
        <w:rPr>
          <w:lang w:val="hr-HR"/>
        </w:rPr>
        <w:t>e</w:t>
      </w:r>
      <w:r w:rsidR="0004458D">
        <w:rPr>
          <w:lang w:val="hr-HR"/>
        </w:rPr>
        <w:t xml:space="preserve"> po sebi, dovoljn</w:t>
      </w:r>
      <w:r w:rsidR="008449A3">
        <w:rPr>
          <w:lang w:val="hr-HR"/>
        </w:rPr>
        <w:t>e</w:t>
      </w:r>
      <w:r w:rsidR="0004458D">
        <w:rPr>
          <w:lang w:val="hr-HR"/>
        </w:rPr>
        <w:t xml:space="preserve"> da bi investitori mogli razumjeti efekte ugovora na buduće novčane tokove subjekata. Informacije o ugovornim obilježjima trebaju se razmatrati zajedno sa informacijama čije objavljivanje nalažu podtačke (b) i (c) tačke </w:t>
      </w:r>
      <w:r w:rsidRPr="00EF5D0A">
        <w:rPr>
          <w:lang w:val="hr-HR"/>
        </w:rPr>
        <w:t>30</w:t>
      </w:r>
      <w:r w:rsidR="0004458D">
        <w:rPr>
          <w:lang w:val="hr-HR"/>
        </w:rPr>
        <w:t>.</w:t>
      </w:r>
      <w:r w:rsidRPr="00EF5D0A">
        <w:rPr>
          <w:lang w:val="hr-HR"/>
        </w:rPr>
        <w:t>A</w:t>
      </w:r>
      <w:r w:rsidR="0004458D">
        <w:rPr>
          <w:lang w:val="hr-HR"/>
        </w:rPr>
        <w:t xml:space="preserve"> MSFI-ja</w:t>
      </w:r>
      <w:r w:rsidRPr="00EF5D0A">
        <w:rPr>
          <w:lang w:val="hr-HR"/>
        </w:rPr>
        <w:t xml:space="preserve"> 7</w:t>
      </w:r>
      <w:r w:rsidR="0004458D">
        <w:rPr>
          <w:lang w:val="hr-HR"/>
        </w:rPr>
        <w:t xml:space="preserve">; </w:t>
      </w:r>
    </w:p>
    <w:p w14:paraId="62D42420" w14:textId="7FA6945E" w:rsidR="00014FB0" w:rsidRPr="00EF5D0A" w:rsidRDefault="001C3CBD">
      <w:pPr>
        <w:pStyle w:val="IASBNormalnparaL1"/>
        <w:rPr>
          <w:lang w:val="hr-HR"/>
        </w:rPr>
      </w:pPr>
      <w:r w:rsidRPr="00EF5D0A">
        <w:rPr>
          <w:lang w:val="hr-HR"/>
        </w:rPr>
        <w:t>(b)</w:t>
      </w:r>
      <w:r w:rsidRPr="00EF5D0A">
        <w:rPr>
          <w:lang w:val="hr-HR"/>
        </w:rPr>
        <w:tab/>
      </w:r>
      <w:r w:rsidR="0004458D">
        <w:rPr>
          <w:lang w:val="hr-HR"/>
        </w:rPr>
        <w:t xml:space="preserve">stavka (i) podtačke (b) tačke 30.A nalaže subjektima da objave informacije o svojim procijenjenim budućim novčanim tokovima koji proističu iz predmetnih, u pravilu, dugoročnih ugovornih obaveza. Te informacije odražavaju nepriznate preuzete ugovorne obaveze subjekta koje proističu iz njegovih napora da osigura pristup određenoj vrsti električne energije. Informacije o novčanim tokovima </w:t>
      </w:r>
    </w:p>
    <w:p w14:paraId="7F7ACB85" w14:textId="6DC347B9" w:rsidR="00014FB0" w:rsidRPr="00EF5D0A" w:rsidRDefault="001C3CBD">
      <w:pPr>
        <w:pStyle w:val="IASBNormalnparaL2"/>
        <w:rPr>
          <w:lang w:val="hr-HR"/>
        </w:rPr>
      </w:pPr>
      <w:r w:rsidRPr="00EF5D0A">
        <w:rPr>
          <w:lang w:val="hr-HR"/>
        </w:rPr>
        <w:t>(i)</w:t>
      </w:r>
      <w:r w:rsidRPr="00EF5D0A">
        <w:rPr>
          <w:lang w:val="hr-HR"/>
        </w:rPr>
        <w:tab/>
      </w:r>
      <w:r w:rsidR="0004458D">
        <w:rPr>
          <w:lang w:val="hr-HR"/>
        </w:rPr>
        <w:t xml:space="preserve">uključuju informacije o </w:t>
      </w:r>
      <w:r w:rsidR="008449A3">
        <w:rPr>
          <w:lang w:val="hr-HR"/>
        </w:rPr>
        <w:t xml:space="preserve">određivanju cijena </w:t>
      </w:r>
      <w:r w:rsidR="0004458D">
        <w:rPr>
          <w:lang w:val="hr-HR"/>
        </w:rPr>
        <w:t>kod ugovora a da se, pri tome, od subjek</w:t>
      </w:r>
      <w:r w:rsidR="008449A3">
        <w:rPr>
          <w:lang w:val="hr-HR"/>
        </w:rPr>
        <w:t>a</w:t>
      </w:r>
      <w:r w:rsidR="0004458D">
        <w:rPr>
          <w:lang w:val="hr-HR"/>
        </w:rPr>
        <w:t>ta ne traži da objav</w:t>
      </w:r>
      <w:r w:rsidR="008449A3">
        <w:rPr>
          <w:lang w:val="hr-HR"/>
        </w:rPr>
        <w:t>e</w:t>
      </w:r>
      <w:r w:rsidR="0004458D">
        <w:rPr>
          <w:lang w:val="hr-HR"/>
        </w:rPr>
        <w:t xml:space="preserve"> detaljne informacije o cijeni; </w:t>
      </w:r>
    </w:p>
    <w:p w14:paraId="24DE9CBD" w14:textId="72F52B0D" w:rsidR="00014FB0" w:rsidRPr="00EF5D0A" w:rsidRDefault="001C3CBD">
      <w:pPr>
        <w:pStyle w:val="IASBNormalnparaL2"/>
        <w:rPr>
          <w:lang w:val="hr-HR"/>
        </w:rPr>
      </w:pPr>
      <w:r w:rsidRPr="00EF5D0A">
        <w:rPr>
          <w:lang w:val="hr-HR"/>
        </w:rPr>
        <w:t>(ii)</w:t>
      </w:r>
      <w:r w:rsidRPr="00EF5D0A">
        <w:rPr>
          <w:lang w:val="hr-HR"/>
        </w:rPr>
        <w:tab/>
      </w:r>
      <w:r w:rsidR="0004458D">
        <w:rPr>
          <w:lang w:val="hr-HR"/>
        </w:rPr>
        <w:t xml:space="preserve">iziskuju niže dodatne troškove da se izrade nego informacije o fer vrijednosti jer </w:t>
      </w:r>
      <w:r w:rsidR="005D58E9">
        <w:rPr>
          <w:lang w:val="hr-HR"/>
        </w:rPr>
        <w:t>su procjene novčanih tokova svojstvene svakom subjektu. Subjekt</w:t>
      </w:r>
      <w:r w:rsidR="008449A3">
        <w:rPr>
          <w:lang w:val="hr-HR"/>
        </w:rPr>
        <w:t>i</w:t>
      </w:r>
      <w:r w:rsidR="005D58E9">
        <w:rPr>
          <w:lang w:val="hr-HR"/>
        </w:rPr>
        <w:t xml:space="preserve"> te procjene ne smij</w:t>
      </w:r>
      <w:r w:rsidR="008449A3">
        <w:rPr>
          <w:lang w:val="hr-HR"/>
        </w:rPr>
        <w:t>u</w:t>
      </w:r>
      <w:r w:rsidR="005D58E9">
        <w:rPr>
          <w:lang w:val="hr-HR"/>
        </w:rPr>
        <w:t xml:space="preserve"> zasnivati na informacijama svojstvenim tržištu čije objavljivanje nalaže MSFI</w:t>
      </w:r>
      <w:r w:rsidRPr="00EF5D0A">
        <w:rPr>
          <w:lang w:val="hr-HR"/>
        </w:rPr>
        <w:t xml:space="preserve"> 13</w:t>
      </w:r>
      <w:r w:rsidR="005D58E9">
        <w:rPr>
          <w:lang w:val="hr-HR"/>
        </w:rPr>
        <w:t xml:space="preserve">; </w:t>
      </w:r>
    </w:p>
    <w:p w14:paraId="0B2FB609" w14:textId="0C665B8A" w:rsidR="00014FB0" w:rsidRPr="00EF5D0A" w:rsidRDefault="001C3CBD">
      <w:pPr>
        <w:pStyle w:val="IASBNormalnparaL1"/>
        <w:rPr>
          <w:lang w:val="hr-HR"/>
        </w:rPr>
      </w:pPr>
      <w:r w:rsidRPr="00EF5D0A">
        <w:rPr>
          <w:lang w:val="hr-HR"/>
        </w:rPr>
        <w:t>(c)</w:t>
      </w:r>
      <w:r w:rsidRPr="00EF5D0A">
        <w:rPr>
          <w:lang w:val="hr-HR"/>
        </w:rPr>
        <w:tab/>
      </w:r>
      <w:r w:rsidR="005D58E9">
        <w:rPr>
          <w:lang w:val="hr-HR"/>
        </w:rPr>
        <w:t xml:space="preserve">stavka (ii) podtačke (b) tačke </w:t>
      </w:r>
      <w:r w:rsidRPr="00EF5D0A">
        <w:rPr>
          <w:lang w:val="hr-HR"/>
        </w:rPr>
        <w:t>30</w:t>
      </w:r>
      <w:r w:rsidR="005D58E9">
        <w:rPr>
          <w:lang w:val="hr-HR"/>
        </w:rPr>
        <w:t>.</w:t>
      </w:r>
      <w:r w:rsidRPr="00EF5D0A">
        <w:rPr>
          <w:lang w:val="hr-HR"/>
        </w:rPr>
        <w:t>A</w:t>
      </w:r>
      <w:r w:rsidR="005D58E9">
        <w:rPr>
          <w:lang w:val="hr-HR"/>
        </w:rPr>
        <w:t xml:space="preserve"> </w:t>
      </w:r>
      <w:r w:rsidR="00345D09">
        <w:rPr>
          <w:lang w:val="hr-HR"/>
        </w:rPr>
        <w:t xml:space="preserve">nalaže subjektima da objave informacije o tome na koji način procjenjuju to da li bi ugovor mogao postati štetan, uključujući pretpostavke kojima se služe kod te procjene. Štetni ugovori su uređeni MRS-om </w:t>
      </w:r>
      <w:r w:rsidRPr="00EF5D0A">
        <w:rPr>
          <w:lang w:val="hr-HR"/>
        </w:rPr>
        <w:t xml:space="preserve">37 </w:t>
      </w:r>
      <w:r w:rsidR="00345D09">
        <w:rPr>
          <w:i/>
          <w:lang w:val="hr-HR"/>
        </w:rPr>
        <w:t>Rezervisanja, potencijalne obaveze i potencijalna imovina</w:t>
      </w:r>
      <w:r w:rsidRPr="00EF5D0A">
        <w:rPr>
          <w:lang w:val="hr-HR"/>
        </w:rPr>
        <w:t xml:space="preserve">. </w:t>
      </w:r>
      <w:r w:rsidR="00345D09">
        <w:rPr>
          <w:lang w:val="hr-HR"/>
        </w:rPr>
        <w:t>Te informacije omogućavaju investitorima da razumiju rizik da predmetni ugovori postanu štetni u doglednoj budućnosti. Odbor je odlučio da ne uvodi dodatne zahtjeve u vezi sa pretpostavkama koje bi subjekti bili dužni objaviti. Tačka</w:t>
      </w:r>
      <w:r w:rsidRPr="00EF5D0A">
        <w:rPr>
          <w:lang w:val="hr-HR"/>
        </w:rPr>
        <w:t xml:space="preserve"> 125</w:t>
      </w:r>
      <w:r w:rsidR="00345D09">
        <w:rPr>
          <w:lang w:val="hr-HR"/>
        </w:rPr>
        <w:t>.</w:t>
      </w:r>
      <w:r w:rsidRPr="00EF5D0A">
        <w:rPr>
          <w:lang w:val="hr-HR"/>
        </w:rPr>
        <w:t xml:space="preserve"> </w:t>
      </w:r>
      <w:r w:rsidR="00345D09">
        <w:rPr>
          <w:lang w:val="hr-HR"/>
        </w:rPr>
        <w:t>MRS-a</w:t>
      </w:r>
      <w:r w:rsidRPr="00EF5D0A">
        <w:rPr>
          <w:lang w:val="hr-HR"/>
        </w:rPr>
        <w:t xml:space="preserve"> 1 </w:t>
      </w:r>
      <w:r w:rsidRPr="00EF5D0A">
        <w:rPr>
          <w:i/>
          <w:lang w:val="hr-HR"/>
        </w:rPr>
        <w:t>P</w:t>
      </w:r>
      <w:r w:rsidR="00345D09">
        <w:rPr>
          <w:i/>
          <w:lang w:val="hr-HR"/>
        </w:rPr>
        <w:t xml:space="preserve">rezentacija finansijskih izvještaja </w:t>
      </w:r>
      <w:r w:rsidRPr="00EF5D0A">
        <w:rPr>
          <w:lang w:val="hr-HR"/>
        </w:rPr>
        <w:t>(</w:t>
      </w:r>
      <w:r w:rsidR="00345D09">
        <w:rPr>
          <w:lang w:val="hr-HR"/>
        </w:rPr>
        <w:t xml:space="preserve">odnosno tačka </w:t>
      </w:r>
      <w:r w:rsidRPr="00EF5D0A">
        <w:rPr>
          <w:lang w:val="hr-HR"/>
        </w:rPr>
        <w:t>31</w:t>
      </w:r>
      <w:r w:rsidR="00345D09">
        <w:rPr>
          <w:lang w:val="hr-HR"/>
        </w:rPr>
        <w:t>.</w:t>
      </w:r>
      <w:r w:rsidRPr="00EF5D0A">
        <w:rPr>
          <w:lang w:val="hr-HR"/>
        </w:rPr>
        <w:t xml:space="preserve">A </w:t>
      </w:r>
      <w:r w:rsidR="00345D09">
        <w:rPr>
          <w:lang w:val="hr-HR"/>
        </w:rPr>
        <w:t>MRS-a</w:t>
      </w:r>
      <w:r w:rsidRPr="00EF5D0A">
        <w:rPr>
          <w:lang w:val="hr-HR"/>
        </w:rPr>
        <w:t xml:space="preserve"> 8 </w:t>
      </w:r>
      <w:r w:rsidR="00345D09">
        <w:rPr>
          <w:i/>
          <w:lang w:val="hr-HR"/>
        </w:rPr>
        <w:t>Osnove za izradu finansijskih izvještaja</w:t>
      </w:r>
      <w:r w:rsidRPr="00EF5D0A">
        <w:rPr>
          <w:lang w:val="hr-HR"/>
        </w:rPr>
        <w:t xml:space="preserve"> </w:t>
      </w:r>
      <w:r w:rsidR="00345D09">
        <w:rPr>
          <w:lang w:val="hr-HR"/>
        </w:rPr>
        <w:t>jednom kada se počne primjenjivati MSFI</w:t>
      </w:r>
      <w:r w:rsidRPr="00EF5D0A">
        <w:rPr>
          <w:lang w:val="hr-HR"/>
        </w:rPr>
        <w:t xml:space="preserve"> 18 </w:t>
      </w:r>
      <w:r w:rsidRPr="00EF5D0A">
        <w:rPr>
          <w:i/>
          <w:lang w:val="hr-HR"/>
        </w:rPr>
        <w:t>P</w:t>
      </w:r>
      <w:r w:rsidR="00345D09">
        <w:rPr>
          <w:i/>
          <w:lang w:val="hr-HR"/>
        </w:rPr>
        <w:t xml:space="preserve">rezentacija i objavljivanje </w:t>
      </w:r>
      <w:r w:rsidR="00EC64A4">
        <w:rPr>
          <w:i/>
          <w:lang w:val="hr-HR"/>
        </w:rPr>
        <w:t xml:space="preserve">u </w:t>
      </w:r>
      <w:r w:rsidR="00345D09">
        <w:rPr>
          <w:i/>
          <w:lang w:val="hr-HR"/>
        </w:rPr>
        <w:t>finansijski</w:t>
      </w:r>
      <w:r w:rsidR="00EC64A4">
        <w:rPr>
          <w:i/>
          <w:lang w:val="hr-HR"/>
        </w:rPr>
        <w:t>m</w:t>
      </w:r>
      <w:r w:rsidR="00345D09">
        <w:rPr>
          <w:i/>
          <w:lang w:val="hr-HR"/>
        </w:rPr>
        <w:t xml:space="preserve"> izvještaj</w:t>
      </w:r>
      <w:r w:rsidR="00EC64A4">
        <w:rPr>
          <w:i/>
          <w:lang w:val="hr-HR"/>
        </w:rPr>
        <w:t>ima</w:t>
      </w:r>
      <w:r w:rsidRPr="00EF5D0A">
        <w:rPr>
          <w:lang w:val="hr-HR"/>
        </w:rPr>
        <w:t xml:space="preserve">) </w:t>
      </w:r>
      <w:r w:rsidR="00345D09">
        <w:rPr>
          <w:lang w:val="hr-HR"/>
        </w:rPr>
        <w:t xml:space="preserve">propisuje adekvatne zahtjeve; </w:t>
      </w:r>
    </w:p>
    <w:p w14:paraId="406733A9" w14:textId="0D81279C" w:rsidR="00014FB0" w:rsidRPr="00EF5D0A" w:rsidRDefault="001C3CBD">
      <w:pPr>
        <w:pStyle w:val="IASBNormalnparaL1"/>
        <w:rPr>
          <w:lang w:val="hr-HR"/>
        </w:rPr>
      </w:pPr>
      <w:r w:rsidRPr="00EF5D0A">
        <w:rPr>
          <w:lang w:val="hr-HR"/>
        </w:rPr>
        <w:t>(d)</w:t>
      </w:r>
      <w:r w:rsidRPr="00EF5D0A">
        <w:rPr>
          <w:lang w:val="hr-HR"/>
        </w:rPr>
        <w:tab/>
      </w:r>
      <w:r w:rsidR="00345D09">
        <w:rPr>
          <w:lang w:val="hr-HR"/>
        </w:rPr>
        <w:t xml:space="preserve">stavka (c) tačke </w:t>
      </w:r>
      <w:r w:rsidRPr="00EF5D0A">
        <w:rPr>
          <w:lang w:val="hr-HR"/>
        </w:rPr>
        <w:t>30</w:t>
      </w:r>
      <w:r w:rsidR="00345D09">
        <w:rPr>
          <w:lang w:val="hr-HR"/>
        </w:rPr>
        <w:t>.</w:t>
      </w:r>
      <w:r w:rsidRPr="00EF5D0A">
        <w:rPr>
          <w:lang w:val="hr-HR"/>
        </w:rPr>
        <w:t>A</w:t>
      </w:r>
      <w:r w:rsidR="00345D09">
        <w:rPr>
          <w:lang w:val="hr-HR"/>
        </w:rPr>
        <w:t xml:space="preserve"> nalaže subjektima da objave informacije o efektima koje su na finansijsk</w:t>
      </w:r>
      <w:r w:rsidR="008449A3">
        <w:rPr>
          <w:lang w:val="hr-HR"/>
        </w:rPr>
        <w:t xml:space="preserve">u uspješnost </w:t>
      </w:r>
      <w:r w:rsidR="00345D09">
        <w:rPr>
          <w:lang w:val="hr-HR"/>
        </w:rPr>
        <w:t xml:space="preserve">subjekta u izvještajnom periodu imale nabavke i prodaje električne energije proistekle </w:t>
      </w:r>
      <w:r w:rsidRPr="00EF5D0A">
        <w:rPr>
          <w:lang w:val="hr-HR"/>
        </w:rPr>
        <w:t xml:space="preserve"> </w:t>
      </w:r>
      <w:r w:rsidR="0069091B">
        <w:rPr>
          <w:lang w:val="hr-HR"/>
        </w:rPr>
        <w:t>iz</w:t>
      </w:r>
      <w:r w:rsidR="008449A3">
        <w:rPr>
          <w:lang w:val="hr-HR"/>
        </w:rPr>
        <w:t xml:space="preserve"> predmetnih</w:t>
      </w:r>
      <w:r w:rsidR="0069091B">
        <w:rPr>
          <w:lang w:val="hr-HR"/>
        </w:rPr>
        <w:t xml:space="preserve"> ugovora. U funkciji povezivanja ovih objavljivanja sa procjenom koja se tiče neto kupca iz tačaka </w:t>
      </w:r>
      <w:r w:rsidRPr="00EF5D0A">
        <w:rPr>
          <w:lang w:val="hr-HR"/>
        </w:rPr>
        <w:t>B2.7</w:t>
      </w:r>
      <w:r w:rsidR="0069091B">
        <w:rPr>
          <w:lang w:val="hr-HR"/>
        </w:rPr>
        <w:t xml:space="preserve"> i </w:t>
      </w:r>
      <w:r w:rsidRPr="00EF5D0A">
        <w:rPr>
          <w:lang w:val="hr-HR"/>
        </w:rPr>
        <w:t xml:space="preserve">B2.8 </w:t>
      </w:r>
      <w:r w:rsidR="0069091B">
        <w:rPr>
          <w:lang w:val="hr-HR"/>
        </w:rPr>
        <w:t>MSFI-ja</w:t>
      </w:r>
      <w:r w:rsidRPr="00EF5D0A">
        <w:rPr>
          <w:lang w:val="hr-HR"/>
        </w:rPr>
        <w:t xml:space="preserve"> 9, </w:t>
      </w:r>
      <w:r w:rsidR="0069091B">
        <w:rPr>
          <w:lang w:val="hr-HR"/>
        </w:rPr>
        <w:t>Odbor se odlučio da subjekti objavljivanja zasnivaju na informacijama koje se odnose na izvještajni period koji koriste za procjenu toga da li su neto kupci</w:t>
      </w:r>
      <w:r w:rsidRPr="00EF5D0A">
        <w:rPr>
          <w:lang w:val="hr-HR"/>
        </w:rPr>
        <w:t>.</w:t>
      </w:r>
    </w:p>
    <w:p w14:paraId="5235C3AB" w14:textId="7E4AEFC4" w:rsidR="00014FB0" w:rsidRPr="00EF5D0A" w:rsidRDefault="0004458D">
      <w:pPr>
        <w:pStyle w:val="IASBSectionTitle3Ind"/>
        <w:rPr>
          <w:lang w:val="hr-HR"/>
        </w:rPr>
      </w:pPr>
      <w:bookmarkStart w:id="59" w:name="unique_178"/>
      <w:r>
        <w:rPr>
          <w:lang w:val="hr-HR"/>
        </w:rPr>
        <w:t xml:space="preserve">Troškovi i koristi </w:t>
      </w:r>
      <w:bookmarkEnd w:id="59"/>
    </w:p>
    <w:p w14:paraId="73A058D3" w14:textId="11139742" w:rsidR="00014FB0" w:rsidRPr="00EF5D0A" w:rsidRDefault="00135517">
      <w:pPr>
        <w:pStyle w:val="IASBNormalnpara"/>
        <w:rPr>
          <w:lang w:val="hr-HR"/>
        </w:rPr>
      </w:pPr>
      <w:r>
        <w:rPr>
          <w:lang w:val="hr-HR"/>
        </w:rPr>
        <w:t>OZ</w:t>
      </w:r>
      <w:r w:rsidR="008449A3">
        <w:rPr>
          <w:lang w:val="hr-HR"/>
        </w:rPr>
        <w:t>.</w:t>
      </w:r>
      <w:r w:rsidR="001C3CBD" w:rsidRPr="00EF5D0A">
        <w:rPr>
          <w:lang w:val="hr-HR"/>
        </w:rPr>
        <w:t>39R</w:t>
      </w:r>
      <w:r w:rsidR="001C3CBD" w:rsidRPr="00EF5D0A">
        <w:rPr>
          <w:lang w:val="hr-HR"/>
        </w:rPr>
        <w:tab/>
      </w:r>
      <w:r w:rsidR="0069091B">
        <w:rPr>
          <w:lang w:val="hr-HR"/>
        </w:rPr>
        <w:t xml:space="preserve">U kontekstu analize uređene tačkom </w:t>
      </w:r>
      <w:r>
        <w:rPr>
          <w:lang w:val="hr-HR"/>
        </w:rPr>
        <w:t>OZ</w:t>
      </w:r>
      <w:r w:rsidR="00601D5C">
        <w:rPr>
          <w:lang w:val="hr-HR"/>
        </w:rPr>
        <w:t>.</w:t>
      </w:r>
      <w:r w:rsidR="001C3CBD" w:rsidRPr="00EF5D0A">
        <w:rPr>
          <w:lang w:val="hr-HR"/>
        </w:rPr>
        <w:t xml:space="preserve">39Q, </w:t>
      </w:r>
      <w:r w:rsidR="0069091B">
        <w:rPr>
          <w:lang w:val="hr-HR"/>
        </w:rPr>
        <w:t xml:space="preserve">Odbor očekuje da koristi </w:t>
      </w:r>
      <w:r w:rsidR="00601D5C">
        <w:rPr>
          <w:lang w:val="hr-HR"/>
        </w:rPr>
        <w:t xml:space="preserve">od </w:t>
      </w:r>
      <w:r w:rsidR="0069091B">
        <w:rPr>
          <w:lang w:val="hr-HR"/>
        </w:rPr>
        <w:t xml:space="preserve">objavljivanja informacija premašuju troškove primjene predmetnih zahtjeva. Oni očekuju da do informacija koje su subjekti dužni objaviti </w:t>
      </w:r>
      <w:r w:rsidR="00601D5C">
        <w:rPr>
          <w:lang w:val="hr-HR"/>
        </w:rPr>
        <w:t xml:space="preserve">bude </w:t>
      </w:r>
      <w:r w:rsidR="0069091B">
        <w:rPr>
          <w:lang w:val="hr-HR"/>
        </w:rPr>
        <w:t xml:space="preserve">lako doći. Odbor je uvažio činjenicu da će subjekti imati izdvajanja na izradu informacija o ugovorima </w:t>
      </w:r>
      <w:r w:rsidR="00601D5C">
        <w:rPr>
          <w:lang w:val="hr-HR"/>
        </w:rPr>
        <w:t>o</w:t>
      </w:r>
      <w:r w:rsidR="0069091B">
        <w:rPr>
          <w:lang w:val="hr-HR"/>
        </w:rPr>
        <w:t xml:space="preserve"> električn</w:t>
      </w:r>
      <w:r w:rsidR="00601D5C">
        <w:rPr>
          <w:lang w:val="hr-HR"/>
        </w:rPr>
        <w:t>oj</w:t>
      </w:r>
      <w:r w:rsidR="0069091B">
        <w:rPr>
          <w:lang w:val="hr-HR"/>
        </w:rPr>
        <w:t xml:space="preserve"> energij</w:t>
      </w:r>
      <w:r w:rsidR="00601D5C">
        <w:rPr>
          <w:lang w:val="hr-HR"/>
        </w:rPr>
        <w:t>i</w:t>
      </w:r>
      <w:r w:rsidR="0069091B">
        <w:rPr>
          <w:lang w:val="hr-HR"/>
        </w:rPr>
        <w:t xml:space="preserve"> iz </w:t>
      </w:r>
      <w:r w:rsidR="00601D5C">
        <w:rPr>
          <w:lang w:val="hr-HR"/>
        </w:rPr>
        <w:t xml:space="preserve">izvora zavisnih od </w:t>
      </w:r>
      <w:r w:rsidR="0069091B">
        <w:rPr>
          <w:lang w:val="hr-HR"/>
        </w:rPr>
        <w:t xml:space="preserve">prirodnih </w:t>
      </w:r>
      <w:r w:rsidR="00601D5C">
        <w:rPr>
          <w:lang w:val="hr-HR"/>
        </w:rPr>
        <w:t>uslova</w:t>
      </w:r>
      <w:r w:rsidR="0069091B">
        <w:rPr>
          <w:lang w:val="hr-HR"/>
        </w:rPr>
        <w:t xml:space="preserve">. Što više ugovora subjekt ima, to bi objavljivanje moglo više koštati. Ipak, Odbor je zaključio da je taj trošak prihvatljiv u odnosu na koristi koje će investitori imati od dodatnih informacija o dugoročnim ugovornim obavezama subjekata koje proističu iz predmetnih ugovora. </w:t>
      </w:r>
    </w:p>
    <w:p w14:paraId="697C9175" w14:textId="487A245E" w:rsidR="00014FB0" w:rsidRPr="00EF5D0A" w:rsidRDefault="0004458D">
      <w:pPr>
        <w:pStyle w:val="IASBSectionTitle3Ind"/>
        <w:rPr>
          <w:lang w:val="hr-HR"/>
        </w:rPr>
      </w:pPr>
      <w:bookmarkStart w:id="60" w:name="unique_179"/>
      <w:r>
        <w:rPr>
          <w:lang w:val="hr-HR"/>
        </w:rPr>
        <w:t xml:space="preserve">Prijelazni zahtjevi </w:t>
      </w:r>
      <w:bookmarkEnd w:id="60"/>
    </w:p>
    <w:p w14:paraId="6AE52A9D" w14:textId="31E6BBD6" w:rsidR="00014FB0" w:rsidRPr="00EF5D0A" w:rsidRDefault="00135517">
      <w:pPr>
        <w:pStyle w:val="IASBNormalnpara"/>
        <w:rPr>
          <w:lang w:val="hr-HR"/>
        </w:rPr>
      </w:pPr>
      <w:r>
        <w:rPr>
          <w:lang w:val="hr-HR"/>
        </w:rPr>
        <w:t>OZ</w:t>
      </w:r>
      <w:r w:rsidR="008449A3">
        <w:rPr>
          <w:lang w:val="hr-HR"/>
        </w:rPr>
        <w:t>.</w:t>
      </w:r>
      <w:r w:rsidR="001C3CBD" w:rsidRPr="00EF5D0A">
        <w:rPr>
          <w:lang w:val="hr-HR"/>
        </w:rPr>
        <w:t>39S</w:t>
      </w:r>
      <w:r w:rsidR="001C3CBD" w:rsidRPr="00EF5D0A">
        <w:rPr>
          <w:lang w:val="hr-HR"/>
        </w:rPr>
        <w:tab/>
      </w:r>
      <w:r w:rsidR="0069091B">
        <w:rPr>
          <w:lang w:val="hr-HR"/>
        </w:rPr>
        <w:t xml:space="preserve">Odbor je odlučio da subjekti koji primjenjuju ove izmjene i dopune po prvi put ne moraju objavljivati kvantitativne informacije koje zahtijeva podtačka (f) tačke </w:t>
      </w:r>
      <w:r w:rsidR="001C3CBD" w:rsidRPr="00EF5D0A">
        <w:rPr>
          <w:lang w:val="hr-HR"/>
        </w:rPr>
        <w:t>28</w:t>
      </w:r>
      <w:r w:rsidR="0069091B">
        <w:rPr>
          <w:lang w:val="hr-HR"/>
        </w:rPr>
        <w:t>. MRS-a</w:t>
      </w:r>
      <w:r w:rsidR="001C3CBD" w:rsidRPr="00EF5D0A">
        <w:rPr>
          <w:lang w:val="hr-HR"/>
        </w:rPr>
        <w:t xml:space="preserve"> 8 (</w:t>
      </w:r>
      <w:r w:rsidR="0069091B">
        <w:rPr>
          <w:lang w:val="hr-HR"/>
        </w:rPr>
        <w:t xml:space="preserve">podtačka f. tačke </w:t>
      </w:r>
      <w:r w:rsidR="001C3CBD" w:rsidRPr="00EF5D0A">
        <w:rPr>
          <w:lang w:val="hr-HR"/>
        </w:rPr>
        <w:t>178</w:t>
      </w:r>
      <w:r w:rsidR="0069091B">
        <w:rPr>
          <w:lang w:val="hr-HR"/>
        </w:rPr>
        <w:t>. MSFI-ja</w:t>
      </w:r>
      <w:r w:rsidR="001C3CBD" w:rsidRPr="00EF5D0A">
        <w:rPr>
          <w:lang w:val="hr-HR"/>
        </w:rPr>
        <w:t xml:space="preserve"> 19 </w:t>
      </w:r>
      <w:r w:rsidR="0069091B">
        <w:rPr>
          <w:i/>
          <w:lang w:val="hr-HR"/>
        </w:rPr>
        <w:t>Zavisna društva bez javne odgovornosti: Objavljivanja</w:t>
      </w:r>
      <w:r w:rsidR="001C3CBD" w:rsidRPr="00EF5D0A">
        <w:rPr>
          <w:lang w:val="hr-HR"/>
        </w:rPr>
        <w:t>)</w:t>
      </w:r>
      <w:r w:rsidR="0095591B">
        <w:rPr>
          <w:lang w:val="hr-HR"/>
        </w:rPr>
        <w:t xml:space="preserve"> za tekući i svaki ranije prikazani period jer bi troškovi takvog objavljivanja bili veći od</w:t>
      </w:r>
      <w:r w:rsidR="00446B24">
        <w:rPr>
          <w:lang w:val="hr-HR"/>
        </w:rPr>
        <w:t xml:space="preserve"> koristi</w:t>
      </w:r>
      <w:r w:rsidR="0095591B">
        <w:rPr>
          <w:lang w:val="hr-HR"/>
        </w:rPr>
        <w:t xml:space="preserve"> od istog</w:t>
      </w:r>
      <w:r w:rsidR="001C3CBD" w:rsidRPr="00EF5D0A">
        <w:rPr>
          <w:lang w:val="hr-HR"/>
        </w:rPr>
        <w:t>.</w:t>
      </w:r>
    </w:p>
    <w:p w14:paraId="74A0C590" w14:textId="77777777" w:rsidR="00014FB0" w:rsidRPr="00EF5D0A" w:rsidRDefault="00014FB0">
      <w:pPr>
        <w:pStyle w:val="SectionEnd"/>
        <w:rPr>
          <w:lang w:val="hr-HR"/>
        </w:rPr>
        <w:sectPr w:rsidR="00014FB0" w:rsidRPr="00EF5D0A">
          <w:headerReference w:type="even" r:id="rId50"/>
          <w:headerReference w:type="default" r:id="rId51"/>
          <w:footerReference w:type="even" r:id="rId52"/>
          <w:footerReference w:type="default" r:id="rId53"/>
          <w:pgSz w:w="11895" w:h="16834"/>
          <w:pgMar w:top="1440" w:right="1440" w:bottom="1440" w:left="1440" w:header="720" w:footer="720" w:gutter="0"/>
          <w:cols w:space="720"/>
        </w:sectPr>
      </w:pPr>
    </w:p>
    <w:p w14:paraId="56C82151" w14:textId="05B3BE56" w:rsidR="00014FB0" w:rsidRPr="00EF5D0A" w:rsidRDefault="0004458D">
      <w:pPr>
        <w:pStyle w:val="IASBSectionTitle2NonInd"/>
        <w:rPr>
          <w:lang w:val="hr-HR"/>
        </w:rPr>
      </w:pPr>
      <w:bookmarkStart w:id="61" w:name="unique_13"/>
      <w:r>
        <w:rPr>
          <w:lang w:val="hr-HR"/>
        </w:rPr>
        <w:lastRenderedPageBreak/>
        <w:t xml:space="preserve">Izmjene i dopune Osnova za donošenje zaključaka </w:t>
      </w:r>
      <w:r w:rsidR="007371BA">
        <w:rPr>
          <w:lang w:val="hr-HR"/>
        </w:rPr>
        <w:t>za</w:t>
      </w:r>
      <w:r>
        <w:rPr>
          <w:lang w:val="hr-HR"/>
        </w:rPr>
        <w:t xml:space="preserve"> drug</w:t>
      </w:r>
      <w:r w:rsidR="007371BA">
        <w:rPr>
          <w:lang w:val="hr-HR"/>
        </w:rPr>
        <w:t>e</w:t>
      </w:r>
      <w:r>
        <w:rPr>
          <w:lang w:val="hr-HR"/>
        </w:rPr>
        <w:t xml:space="preserve"> </w:t>
      </w:r>
      <w:r w:rsidR="007371BA">
        <w:rPr>
          <w:lang w:val="hr-HR"/>
        </w:rPr>
        <w:t>IFRS</w:t>
      </w:r>
      <w:r>
        <w:rPr>
          <w:lang w:val="hr-HR"/>
        </w:rPr>
        <w:t xml:space="preserve"> računovodstven</w:t>
      </w:r>
      <w:r w:rsidR="007371BA">
        <w:rPr>
          <w:lang w:val="hr-HR"/>
        </w:rPr>
        <w:t>e</w:t>
      </w:r>
      <w:r>
        <w:rPr>
          <w:lang w:val="hr-HR"/>
        </w:rPr>
        <w:t xml:space="preserve"> standard</w:t>
      </w:r>
      <w:r w:rsidR="007371BA">
        <w:rPr>
          <w:lang w:val="hr-HR"/>
        </w:rPr>
        <w:t>e</w:t>
      </w:r>
      <w:r w:rsidRPr="00EF5D0A">
        <w:rPr>
          <w:lang w:val="hr-HR"/>
        </w:rPr>
        <w:t xml:space="preserve"> </w:t>
      </w:r>
      <w:r w:rsidR="001C3CBD" w:rsidRPr="00EF5D0A">
        <w:rPr>
          <w:lang w:val="hr-HR"/>
        </w:rPr>
        <w:br/>
      </w:r>
      <w:r w:rsidR="001C3CBD" w:rsidRPr="00EF5D0A">
        <w:rPr>
          <w:lang w:val="hr-HR"/>
        </w:rPr>
        <w:br/>
      </w:r>
      <w:r w:rsidR="00135517">
        <w:rPr>
          <w:lang w:val="hr-HR"/>
        </w:rPr>
        <w:t xml:space="preserve">Izmjene i dopune Osnova za donošenje zaključaka </w:t>
      </w:r>
      <w:r w:rsidR="007371BA">
        <w:rPr>
          <w:lang w:val="hr-HR"/>
        </w:rPr>
        <w:t>za</w:t>
      </w:r>
      <w:r w:rsidR="00135517">
        <w:rPr>
          <w:lang w:val="hr-HR"/>
        </w:rPr>
        <w:t xml:space="preserve"> MSFI</w:t>
      </w:r>
      <w:r w:rsidR="001C3CBD" w:rsidRPr="00EF5D0A">
        <w:rPr>
          <w:lang w:val="hr-HR"/>
        </w:rPr>
        <w:t xml:space="preserve"> 19 </w:t>
      </w:r>
      <w:r w:rsidR="00135517">
        <w:rPr>
          <w:i/>
          <w:lang w:val="hr-HR"/>
        </w:rPr>
        <w:t>Zavisn</w:t>
      </w:r>
      <w:r w:rsidR="00C7664D">
        <w:rPr>
          <w:i/>
          <w:lang w:val="hr-HR"/>
        </w:rPr>
        <w:t>a</w:t>
      </w:r>
      <w:r w:rsidR="00135517">
        <w:rPr>
          <w:i/>
          <w:lang w:val="hr-HR"/>
        </w:rPr>
        <w:t xml:space="preserve"> </w:t>
      </w:r>
      <w:r w:rsidR="00C7664D">
        <w:rPr>
          <w:i/>
          <w:lang w:val="hr-HR"/>
        </w:rPr>
        <w:t>društva</w:t>
      </w:r>
      <w:r w:rsidR="00135517">
        <w:rPr>
          <w:i/>
          <w:lang w:val="hr-HR"/>
        </w:rPr>
        <w:t xml:space="preserve"> bez javne odgovornosti: Objavljivanja</w:t>
      </w:r>
      <w:bookmarkEnd w:id="61"/>
    </w:p>
    <w:p w14:paraId="56B311F1" w14:textId="77777777" w:rsidR="00014FB0" w:rsidRPr="00EF5D0A" w:rsidRDefault="00014FB0">
      <w:pPr>
        <w:pStyle w:val="IASBNormalnpara"/>
        <w:rPr>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014FB0" w:rsidRPr="00EE2662" w14:paraId="36C5F5B7" w14:textId="77777777">
        <w:tc>
          <w:tcPr>
            <w:tcW w:w="50" w:type="pct"/>
            <w:tcBorders>
              <w:bottom w:val="single" w:sz="0" w:space="0" w:color="auto"/>
              <w:right w:val="single" w:sz="0" w:space="0" w:color="auto"/>
            </w:tcBorders>
          </w:tcPr>
          <w:p w14:paraId="2EC42B82" w14:textId="04D629B5" w:rsidR="00014FB0" w:rsidRPr="00EF5D0A" w:rsidRDefault="00135517">
            <w:pPr>
              <w:pStyle w:val="IASBTableArial"/>
              <w:rPr>
                <w:lang w:val="hr-HR"/>
              </w:rPr>
            </w:pPr>
            <w:r>
              <w:rPr>
                <w:lang w:val="hr-HR"/>
              </w:rPr>
              <w:t>Uvedeni su tačka OZ</w:t>
            </w:r>
            <w:r w:rsidR="00EE2662">
              <w:rPr>
                <w:lang w:val="hr-HR"/>
              </w:rPr>
              <w:t>.</w:t>
            </w:r>
            <w:r w:rsidR="001C3CBD" w:rsidRPr="00EF5D0A">
              <w:rPr>
                <w:lang w:val="hr-HR"/>
              </w:rPr>
              <w:t xml:space="preserve">114 </w:t>
            </w:r>
            <w:r>
              <w:rPr>
                <w:lang w:val="hr-HR"/>
              </w:rPr>
              <w:t xml:space="preserve">i pripadajući podnaslov. Zbog </w:t>
            </w:r>
            <w:r w:rsidR="00EE2662">
              <w:rPr>
                <w:lang w:val="hr-HR"/>
              </w:rPr>
              <w:t xml:space="preserve">bolje </w:t>
            </w:r>
            <w:r>
              <w:rPr>
                <w:lang w:val="hr-HR"/>
              </w:rPr>
              <w:t xml:space="preserve">preglednosti, ni tačka ni podnaslov ovdje nisu podvučeni. </w:t>
            </w:r>
          </w:p>
        </w:tc>
      </w:tr>
    </w:tbl>
    <w:p w14:paraId="63703F00" w14:textId="77777777" w:rsidR="00014FB0" w:rsidRPr="00EF5D0A" w:rsidRDefault="00014FB0">
      <w:pPr>
        <w:pStyle w:val="IASBNormalnpara"/>
        <w:rPr>
          <w:lang w:val="hr-HR"/>
        </w:rPr>
      </w:pPr>
    </w:p>
    <w:p w14:paraId="642DD4D0" w14:textId="5D7BC782" w:rsidR="00014FB0" w:rsidRPr="00EF5D0A" w:rsidRDefault="00135517">
      <w:pPr>
        <w:pStyle w:val="IASBSectionTitle2NonInd"/>
        <w:rPr>
          <w:lang w:val="hr-HR"/>
        </w:rPr>
      </w:pPr>
      <w:bookmarkStart w:id="62" w:name="unique_41"/>
      <w:r>
        <w:rPr>
          <w:lang w:val="hr-HR"/>
        </w:rPr>
        <w:t>Održavanje MSFI-ja</w:t>
      </w:r>
      <w:r w:rsidR="001C3CBD" w:rsidRPr="00EF5D0A">
        <w:rPr>
          <w:lang w:val="hr-HR"/>
        </w:rPr>
        <w:t xml:space="preserve"> 19</w:t>
      </w:r>
      <w:bookmarkEnd w:id="62"/>
    </w:p>
    <w:p w14:paraId="4D4A2C64" w14:textId="77777777" w:rsidR="00014FB0" w:rsidRPr="00EF5D0A" w:rsidRDefault="001C3CBD">
      <w:pPr>
        <w:pStyle w:val="IASBNormalnpara"/>
        <w:rPr>
          <w:lang w:val="hr-HR"/>
        </w:rPr>
      </w:pPr>
      <w:r w:rsidRPr="00EF5D0A">
        <w:rPr>
          <w:lang w:val="hr-HR"/>
        </w:rPr>
        <w:tab/>
        <w:t>...</w:t>
      </w:r>
    </w:p>
    <w:p w14:paraId="3195E9B2" w14:textId="56DB3DEB" w:rsidR="00014FB0" w:rsidRPr="00EF5D0A" w:rsidRDefault="00DF65E9">
      <w:pPr>
        <w:pStyle w:val="IASBSectionTitle2Ind"/>
        <w:rPr>
          <w:lang w:val="hr-HR"/>
        </w:rPr>
      </w:pPr>
      <w:bookmarkStart w:id="63" w:name="unique_194"/>
      <w:r>
        <w:rPr>
          <w:lang w:val="hr-HR"/>
        </w:rPr>
        <w:t xml:space="preserve">Ugovori </w:t>
      </w:r>
      <w:r w:rsidR="009B5C3E">
        <w:rPr>
          <w:lang w:val="hr-HR"/>
        </w:rPr>
        <w:t>o</w:t>
      </w:r>
      <w:r>
        <w:rPr>
          <w:lang w:val="hr-HR"/>
        </w:rPr>
        <w:t xml:space="preserve"> električn</w:t>
      </w:r>
      <w:r w:rsidR="009B5C3E">
        <w:rPr>
          <w:lang w:val="hr-HR"/>
        </w:rPr>
        <w:t>oj</w:t>
      </w:r>
      <w:r>
        <w:rPr>
          <w:lang w:val="hr-HR"/>
        </w:rPr>
        <w:t xml:space="preserve"> energij</w:t>
      </w:r>
      <w:r w:rsidR="009B5C3E">
        <w:rPr>
          <w:lang w:val="hr-HR"/>
        </w:rPr>
        <w:t>i</w:t>
      </w:r>
      <w:r>
        <w:rPr>
          <w:lang w:val="hr-HR"/>
        </w:rPr>
        <w:t xml:space="preserve"> iz izvora zavisnih od prirodnih uslova</w:t>
      </w:r>
      <w:r w:rsidR="001C3CBD" w:rsidRPr="00EF5D0A">
        <w:rPr>
          <w:lang w:val="hr-HR"/>
        </w:rPr>
        <w:t xml:space="preserve"> (</w:t>
      </w:r>
      <w:r w:rsidR="00135517">
        <w:rPr>
          <w:lang w:val="hr-HR"/>
        </w:rPr>
        <w:t>tačke od</w:t>
      </w:r>
      <w:r w:rsidR="001C3CBD" w:rsidRPr="00EF5D0A">
        <w:rPr>
          <w:lang w:val="hr-HR"/>
        </w:rPr>
        <w:t xml:space="preserve"> 64</w:t>
      </w:r>
      <w:r w:rsidR="00135517">
        <w:rPr>
          <w:lang w:val="hr-HR"/>
        </w:rPr>
        <w:t>.</w:t>
      </w:r>
      <w:r w:rsidR="001C3CBD" w:rsidRPr="00EF5D0A">
        <w:rPr>
          <w:lang w:val="hr-HR"/>
        </w:rPr>
        <w:t>A</w:t>
      </w:r>
      <w:r w:rsidR="00135517">
        <w:rPr>
          <w:lang w:val="hr-HR"/>
        </w:rPr>
        <w:t xml:space="preserve"> do </w:t>
      </w:r>
      <w:r w:rsidR="001C3CBD" w:rsidRPr="00EF5D0A">
        <w:rPr>
          <w:lang w:val="hr-HR"/>
        </w:rPr>
        <w:t>64</w:t>
      </w:r>
      <w:r w:rsidR="00135517">
        <w:rPr>
          <w:lang w:val="hr-HR"/>
        </w:rPr>
        <w:t>.</w:t>
      </w:r>
      <w:r w:rsidR="001C3CBD" w:rsidRPr="00EF5D0A">
        <w:rPr>
          <w:lang w:val="hr-HR"/>
        </w:rPr>
        <w:t>C)</w:t>
      </w:r>
      <w:bookmarkEnd w:id="63"/>
    </w:p>
    <w:p w14:paraId="5F3324AF" w14:textId="79520686" w:rsidR="00014FB0" w:rsidRPr="00EF5D0A" w:rsidRDefault="00135517">
      <w:pPr>
        <w:pStyle w:val="IASBNormalnpara"/>
        <w:rPr>
          <w:lang w:val="hr-HR"/>
        </w:rPr>
      </w:pPr>
      <w:r>
        <w:rPr>
          <w:lang w:val="hr-HR"/>
        </w:rPr>
        <w:t>OZ</w:t>
      </w:r>
      <w:r w:rsidR="00C7664D">
        <w:rPr>
          <w:lang w:val="hr-HR"/>
        </w:rPr>
        <w:t>.</w:t>
      </w:r>
      <w:r w:rsidR="001C3CBD" w:rsidRPr="00EF5D0A">
        <w:rPr>
          <w:lang w:val="hr-HR"/>
        </w:rPr>
        <w:t>114</w:t>
      </w:r>
      <w:r>
        <w:rPr>
          <w:lang w:val="hr-HR"/>
        </w:rPr>
        <w:t>.</w:t>
      </w:r>
      <w:r w:rsidR="001C3CBD" w:rsidRPr="00EF5D0A">
        <w:rPr>
          <w:lang w:val="hr-HR"/>
        </w:rPr>
        <w:tab/>
      </w:r>
      <w:r w:rsidR="005270B1">
        <w:rPr>
          <w:lang w:val="hr-HR"/>
        </w:rPr>
        <w:t xml:space="preserve">U decembru 2024. godine, </w:t>
      </w:r>
      <w:r w:rsidR="005270B1" w:rsidRPr="005270B1">
        <w:rPr>
          <w:i/>
          <w:iCs/>
          <w:lang w:val="hr-HR"/>
        </w:rPr>
        <w:t>IASB</w:t>
      </w:r>
      <w:r w:rsidR="005270B1">
        <w:rPr>
          <w:lang w:val="hr-HR"/>
        </w:rPr>
        <w:t xml:space="preserve"> je izdao dokument naslovljen </w:t>
      </w:r>
      <w:r w:rsidR="00DF65E9">
        <w:rPr>
          <w:i/>
          <w:lang w:val="hr-HR"/>
        </w:rPr>
        <w:t xml:space="preserve">Ugovori </w:t>
      </w:r>
      <w:r w:rsidR="009B5C3E">
        <w:rPr>
          <w:i/>
          <w:lang w:val="hr-HR"/>
        </w:rPr>
        <w:t xml:space="preserve">o </w:t>
      </w:r>
      <w:r w:rsidR="00DF65E9">
        <w:rPr>
          <w:i/>
          <w:lang w:val="hr-HR"/>
        </w:rPr>
        <w:t>električn</w:t>
      </w:r>
      <w:r w:rsidR="009B5C3E">
        <w:rPr>
          <w:i/>
          <w:lang w:val="hr-HR"/>
        </w:rPr>
        <w:t>oj</w:t>
      </w:r>
      <w:r w:rsidR="00DF65E9">
        <w:rPr>
          <w:i/>
          <w:lang w:val="hr-HR"/>
        </w:rPr>
        <w:t xml:space="preserve"> energij</w:t>
      </w:r>
      <w:r w:rsidR="009B5C3E">
        <w:rPr>
          <w:i/>
          <w:lang w:val="hr-HR"/>
        </w:rPr>
        <w:t>i</w:t>
      </w:r>
      <w:r w:rsidR="00DF65E9">
        <w:rPr>
          <w:i/>
          <w:lang w:val="hr-HR"/>
        </w:rPr>
        <w:t xml:space="preserve"> iz izvora zavisnih od prirodnih uslova</w:t>
      </w:r>
      <w:r w:rsidR="005270B1" w:rsidRPr="00EF5D0A">
        <w:rPr>
          <w:lang w:val="hr-HR"/>
        </w:rPr>
        <w:t xml:space="preserve">, </w:t>
      </w:r>
      <w:r w:rsidR="005270B1">
        <w:rPr>
          <w:lang w:val="hr-HR"/>
        </w:rPr>
        <w:t xml:space="preserve">kojim su izvršene izmjene i dopune MSFI-ja 9 i MSFI-ja 7. Oni su se odlučili da ne umanjuju objavljivanja za zavisna društva koja zadovoljavaju uslove za to jer: </w:t>
      </w:r>
    </w:p>
    <w:p w14:paraId="4813314E" w14:textId="5930DFFC" w:rsidR="00014FB0" w:rsidRPr="00EF5D0A" w:rsidRDefault="001C3CBD">
      <w:pPr>
        <w:pStyle w:val="IASBNormalnparaL1"/>
        <w:rPr>
          <w:lang w:val="hr-HR"/>
        </w:rPr>
      </w:pPr>
      <w:r w:rsidRPr="00EF5D0A">
        <w:rPr>
          <w:lang w:val="hr-HR"/>
        </w:rPr>
        <w:t>(a)</w:t>
      </w:r>
      <w:r w:rsidRPr="00EF5D0A">
        <w:rPr>
          <w:lang w:val="hr-HR"/>
        </w:rPr>
        <w:tab/>
      </w:r>
      <w:r w:rsidR="005F52BC">
        <w:rPr>
          <w:lang w:val="hr-HR"/>
        </w:rPr>
        <w:t xml:space="preserve">bi se </w:t>
      </w:r>
      <w:r w:rsidR="005270B1">
        <w:rPr>
          <w:lang w:val="hr-HR"/>
        </w:rPr>
        <w:t xml:space="preserve">na osnovu predloženih zahtjeva u pogledu objavljivanja pružile informacije o dužnostima, preuzetim obavezama ili </w:t>
      </w:r>
      <w:r w:rsidR="005F52BC">
        <w:rPr>
          <w:lang w:val="hr-HR"/>
        </w:rPr>
        <w:t>potencijalnim događajima,</w:t>
      </w:r>
      <w:r w:rsidR="0004458D">
        <w:rPr>
          <w:lang w:val="hr-HR"/>
        </w:rPr>
        <w:t xml:space="preserve"> te informacije o neizvjesnosti mjerenja; </w:t>
      </w:r>
    </w:p>
    <w:p w14:paraId="23574E1C" w14:textId="703DF8B9" w:rsidR="00014FB0" w:rsidRPr="00EF5D0A" w:rsidRDefault="001C3CBD">
      <w:pPr>
        <w:pStyle w:val="IASBNormalnparaL1"/>
        <w:rPr>
          <w:lang w:val="hr-HR"/>
        </w:rPr>
      </w:pPr>
      <w:r w:rsidRPr="00EF5D0A">
        <w:rPr>
          <w:lang w:val="hr-HR"/>
        </w:rPr>
        <w:t>(b)</w:t>
      </w:r>
      <w:r w:rsidRPr="00EF5D0A">
        <w:rPr>
          <w:lang w:val="hr-HR"/>
        </w:rPr>
        <w:tab/>
      </w:r>
      <w:r w:rsidR="0004458D">
        <w:rPr>
          <w:lang w:val="hr-HR"/>
        </w:rPr>
        <w:t xml:space="preserve">uski djelokrug ugovora koji zadovoljavaju kriterije iz tačke </w:t>
      </w:r>
      <w:r w:rsidRPr="00EF5D0A">
        <w:rPr>
          <w:lang w:val="hr-HR"/>
        </w:rPr>
        <w:t>5</w:t>
      </w:r>
      <w:r w:rsidR="0004458D">
        <w:rPr>
          <w:lang w:val="hr-HR"/>
        </w:rPr>
        <w:t>.</w:t>
      </w:r>
      <w:r w:rsidRPr="00EF5D0A">
        <w:rPr>
          <w:lang w:val="hr-HR"/>
        </w:rPr>
        <w:t xml:space="preserve">B </w:t>
      </w:r>
      <w:r w:rsidR="0004458D">
        <w:rPr>
          <w:lang w:val="hr-HR"/>
        </w:rPr>
        <w:t>MSFI-ja</w:t>
      </w:r>
      <w:r w:rsidRPr="00EF5D0A">
        <w:rPr>
          <w:lang w:val="hr-HR"/>
        </w:rPr>
        <w:t xml:space="preserve"> 7 </w:t>
      </w:r>
      <w:r w:rsidR="0004458D">
        <w:rPr>
          <w:lang w:val="hr-HR"/>
        </w:rPr>
        <w:t>smanj</w:t>
      </w:r>
      <w:r w:rsidR="005F52BC">
        <w:rPr>
          <w:lang w:val="hr-HR"/>
        </w:rPr>
        <w:t>uje</w:t>
      </w:r>
      <w:r w:rsidR="0004458D">
        <w:rPr>
          <w:lang w:val="hr-HR"/>
        </w:rPr>
        <w:t xml:space="preserve"> </w:t>
      </w:r>
      <w:r w:rsidR="005F52BC">
        <w:rPr>
          <w:lang w:val="hr-HR"/>
        </w:rPr>
        <w:t>troškove pružanja informacija za</w:t>
      </w:r>
      <w:r w:rsidR="0004458D">
        <w:rPr>
          <w:lang w:val="hr-HR"/>
        </w:rPr>
        <w:t xml:space="preserve"> </w:t>
      </w:r>
      <w:r w:rsidR="005F52BC">
        <w:rPr>
          <w:lang w:val="hr-HR"/>
        </w:rPr>
        <w:t xml:space="preserve">obuhvaćena </w:t>
      </w:r>
      <w:r w:rsidR="0004458D">
        <w:rPr>
          <w:lang w:val="hr-HR"/>
        </w:rPr>
        <w:t>zavisn</w:t>
      </w:r>
      <w:r w:rsidR="005F52BC">
        <w:rPr>
          <w:lang w:val="hr-HR"/>
        </w:rPr>
        <w:t>a</w:t>
      </w:r>
      <w:r w:rsidR="0004458D">
        <w:rPr>
          <w:lang w:val="hr-HR"/>
        </w:rPr>
        <w:t xml:space="preserve"> društva</w:t>
      </w:r>
      <w:r w:rsidR="00D15568">
        <w:rPr>
          <w:lang w:val="hr-HR"/>
        </w:rPr>
        <w:t xml:space="preserve"> i, p</w:t>
      </w:r>
      <w:r w:rsidR="0004458D">
        <w:rPr>
          <w:lang w:val="hr-HR"/>
        </w:rPr>
        <w:t xml:space="preserve">rema tome, </w:t>
      </w:r>
      <w:r w:rsidRPr="0004458D">
        <w:rPr>
          <w:i/>
          <w:iCs/>
          <w:lang w:val="hr-HR"/>
        </w:rPr>
        <w:t>IASB</w:t>
      </w:r>
      <w:r w:rsidRPr="00EF5D0A">
        <w:rPr>
          <w:lang w:val="hr-HR"/>
        </w:rPr>
        <w:t xml:space="preserve"> </w:t>
      </w:r>
      <w:r w:rsidR="0004458D">
        <w:rPr>
          <w:lang w:val="hr-HR"/>
        </w:rPr>
        <w:t xml:space="preserve">očekuje da koristi predloženih zahtjeva u pogledu objavljivanja premaše njihove troškove. </w:t>
      </w:r>
    </w:p>
    <w:p w14:paraId="675C5AAA" w14:textId="77777777" w:rsidR="00014FB0" w:rsidRPr="00EF5D0A" w:rsidRDefault="00014FB0">
      <w:pPr>
        <w:pStyle w:val="SectionEnd"/>
        <w:rPr>
          <w:lang w:val="hr-HR"/>
        </w:rPr>
        <w:sectPr w:rsidR="00014FB0" w:rsidRPr="00EF5D0A">
          <w:headerReference w:type="even" r:id="rId54"/>
          <w:headerReference w:type="default" r:id="rId55"/>
          <w:footerReference w:type="even" r:id="rId56"/>
          <w:footerReference w:type="default" r:id="rId57"/>
          <w:pgSz w:w="11895" w:h="16834"/>
          <w:pgMar w:top="1440" w:right="1440" w:bottom="1440" w:left="1440" w:header="720" w:footer="720" w:gutter="0"/>
          <w:cols w:space="720"/>
        </w:sectPr>
      </w:pPr>
    </w:p>
    <w:p w14:paraId="5D0F2B6F" w14:textId="77777777" w:rsidR="00F5438F" w:rsidRPr="00EF5D0A" w:rsidRDefault="00F5438F">
      <w:pPr>
        <w:rPr>
          <w:lang w:val="hr-HR"/>
        </w:rPr>
      </w:pPr>
    </w:p>
    <w:sectPr w:rsidR="00F5438F" w:rsidRPr="00EF5D0A">
      <w:headerReference w:type="even" r:id="rId58"/>
      <w:headerReference w:type="default" r:id="rId59"/>
      <w:footerReference w:type="even" r:id="rId60"/>
      <w:footerReference w:type="default" r:id="rId61"/>
      <w:pgSz w:w="11895"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B6E54" w14:textId="77777777" w:rsidR="00DC6AD9" w:rsidRDefault="00DC6AD9">
      <w:r>
        <w:separator/>
      </w:r>
    </w:p>
  </w:endnote>
  <w:endnote w:type="continuationSeparator" w:id="0">
    <w:p w14:paraId="26A84BBB" w14:textId="77777777" w:rsidR="00DC6AD9" w:rsidRDefault="00DC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DE062" w14:textId="77777777" w:rsidR="00014FB0" w:rsidRDefault="001C3CBD">
    <w:pPr>
      <w:pStyle w:val="Podnoje"/>
    </w:pPr>
    <w:r>
      <w:fldChar w:fldCharType="begin"/>
    </w:r>
    <w:r>
      <w:instrText>PAGE</w:instrText>
    </w:r>
    <w:r>
      <w:fldChar w:fldCharType="end"/>
    </w:r>
    <w:r>
      <w:tab/>
      <w:t>© IFRS Foundation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77582" w14:textId="1B7E318E" w:rsidR="00014FB0" w:rsidRDefault="001C3CBD">
    <w:pPr>
      <w:pStyle w:val="Podnoje"/>
    </w:pPr>
    <w:r>
      <w:tab/>
      <w:t>© IFRS Foundation</w:t>
    </w:r>
    <w:r>
      <w:tab/>
    </w:r>
    <w:r>
      <w:fldChar w:fldCharType="begin"/>
    </w:r>
    <w:r>
      <w:instrText>PAGE</w:instrText>
    </w:r>
    <w:r>
      <w:fldChar w:fldCharType="separate"/>
    </w:r>
    <w:r w:rsidR="00E54D8F">
      <w:rPr>
        <w:noProof/>
      </w:rP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788FC" w14:textId="533FD9F8" w:rsidR="00014FB0" w:rsidRDefault="001C3CBD">
    <w:pPr>
      <w:pStyle w:val="Podnoje"/>
    </w:pPr>
    <w:r>
      <w:fldChar w:fldCharType="begin"/>
    </w:r>
    <w:r>
      <w:instrText>PAGE</w:instrText>
    </w:r>
    <w:r>
      <w:fldChar w:fldCharType="separate"/>
    </w:r>
    <w:r w:rsidR="00E54D8F">
      <w:rPr>
        <w:noProof/>
      </w:rPr>
      <w:t>8</w:t>
    </w:r>
    <w:r>
      <w:fldChar w:fldCharType="end"/>
    </w:r>
    <w:r>
      <w:tab/>
      <w:t>© IFRS Foundation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BA953" w14:textId="5399E093" w:rsidR="00014FB0" w:rsidRDefault="001C3CBD">
    <w:pPr>
      <w:pStyle w:val="Podnoje"/>
    </w:pPr>
    <w:r>
      <w:tab/>
      <w:t>© IFRS Foundation</w:t>
    </w:r>
    <w:r>
      <w:tab/>
    </w:r>
    <w:r>
      <w:fldChar w:fldCharType="begin"/>
    </w:r>
    <w:r>
      <w:instrText>PAGE</w:instrText>
    </w:r>
    <w:r>
      <w:fldChar w:fldCharType="separate"/>
    </w:r>
    <w:r w:rsidR="00E54D8F">
      <w:rPr>
        <w:noProof/>
      </w:rPr>
      <w:t>9</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B58A6" w14:textId="51494D4E" w:rsidR="00014FB0" w:rsidRDefault="001C3CBD">
    <w:pPr>
      <w:pStyle w:val="Podnoje"/>
    </w:pPr>
    <w:r>
      <w:fldChar w:fldCharType="begin"/>
    </w:r>
    <w:r>
      <w:instrText>PAGE</w:instrText>
    </w:r>
    <w:r>
      <w:fldChar w:fldCharType="separate"/>
    </w:r>
    <w:r w:rsidR="00E54D8F">
      <w:rPr>
        <w:noProof/>
      </w:rPr>
      <w:t>10</w:t>
    </w:r>
    <w:r>
      <w:fldChar w:fldCharType="end"/>
    </w:r>
    <w:r>
      <w:tab/>
      <w:t>© IFRS Foundation</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BF797" w14:textId="30251240" w:rsidR="00014FB0" w:rsidRDefault="001C3CBD">
    <w:pPr>
      <w:pStyle w:val="Podnoje"/>
    </w:pPr>
    <w:r>
      <w:tab/>
      <w:t>© IFRS Foundation</w:t>
    </w:r>
    <w:r>
      <w:tab/>
    </w:r>
    <w:r>
      <w:fldChar w:fldCharType="begin"/>
    </w:r>
    <w:r>
      <w:instrText>PAGE</w:instrText>
    </w:r>
    <w:r>
      <w:fldChar w:fldCharType="separate"/>
    </w:r>
    <w:r>
      <w:rPr>
        <w:noProof/>
      </w:rPr>
      <w:t>11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61B96" w14:textId="7B0E24F2" w:rsidR="00014FB0" w:rsidRDefault="001C3CBD">
    <w:pPr>
      <w:pStyle w:val="Podnoje"/>
    </w:pPr>
    <w:r>
      <w:fldChar w:fldCharType="begin"/>
    </w:r>
    <w:r>
      <w:instrText>PAGE</w:instrText>
    </w:r>
    <w:r>
      <w:fldChar w:fldCharType="separate"/>
    </w:r>
    <w:r w:rsidR="00E54D8F">
      <w:rPr>
        <w:noProof/>
      </w:rPr>
      <w:t>12</w:t>
    </w:r>
    <w:r>
      <w:fldChar w:fldCharType="end"/>
    </w:r>
    <w:r>
      <w:tab/>
      <w:t>© IFRS Foundation</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2E1F2" w14:textId="04278461" w:rsidR="00014FB0" w:rsidRDefault="001C3CBD">
    <w:pPr>
      <w:pStyle w:val="Podnoje"/>
    </w:pPr>
    <w:r>
      <w:tab/>
      <w:t>© IFRS Foundation</w:t>
    </w:r>
    <w:r>
      <w:tab/>
    </w:r>
    <w:r>
      <w:fldChar w:fldCharType="begin"/>
    </w:r>
    <w:r>
      <w:instrText>PAGE</w:instrText>
    </w:r>
    <w:r>
      <w:fldChar w:fldCharType="separate"/>
    </w:r>
    <w:r w:rsidR="00E54D8F">
      <w:rPr>
        <w:noProof/>
      </w:rPr>
      <w:t>11</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1BE99" w14:textId="3849F6CD" w:rsidR="00014FB0" w:rsidRDefault="001C3CBD">
    <w:pPr>
      <w:pStyle w:val="Podnoje"/>
    </w:pPr>
    <w:r>
      <w:fldChar w:fldCharType="begin"/>
    </w:r>
    <w:r>
      <w:instrText>PAGE</w:instrText>
    </w:r>
    <w:r>
      <w:fldChar w:fldCharType="separate"/>
    </w:r>
    <w:r w:rsidR="00E54D8F">
      <w:rPr>
        <w:noProof/>
      </w:rPr>
      <w:t>20</w:t>
    </w:r>
    <w:r>
      <w:fldChar w:fldCharType="end"/>
    </w:r>
    <w:r>
      <w:tab/>
      <w:t>© IFRS Foundation</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03DFA" w14:textId="68AC6274" w:rsidR="00014FB0" w:rsidRDefault="001C3CBD">
    <w:pPr>
      <w:pStyle w:val="Podnoje"/>
    </w:pPr>
    <w:r>
      <w:tab/>
      <w:t>© IFRS Foundation</w:t>
    </w:r>
    <w:r>
      <w:tab/>
    </w:r>
    <w:r>
      <w:fldChar w:fldCharType="begin"/>
    </w:r>
    <w:r>
      <w:instrText>PAGE</w:instrText>
    </w:r>
    <w:r>
      <w:fldChar w:fldCharType="separate"/>
    </w:r>
    <w:r w:rsidR="00E54D8F">
      <w:rPr>
        <w:noProof/>
      </w:rPr>
      <w:t>19</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CD7F1" w14:textId="088DD737" w:rsidR="00014FB0" w:rsidRDefault="001C3CBD">
    <w:pPr>
      <w:pStyle w:val="Podnoje"/>
    </w:pPr>
    <w:r>
      <w:fldChar w:fldCharType="begin"/>
    </w:r>
    <w:r>
      <w:instrText>PAGE</w:instrText>
    </w:r>
    <w:r>
      <w:fldChar w:fldCharType="separate"/>
    </w:r>
    <w:r w:rsidR="00E54D8F">
      <w:rPr>
        <w:noProof/>
      </w:rPr>
      <w:t>22</w:t>
    </w:r>
    <w:r>
      <w:fldChar w:fldCharType="end"/>
    </w:r>
    <w:r>
      <w:tab/>
      <w:t>© IFRS Foundation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9044E" w14:textId="77777777" w:rsidR="00014FB0" w:rsidRDefault="001C3CBD">
    <w:pPr>
      <w:pStyle w:val="Podnoje"/>
    </w:pPr>
    <w:r>
      <w:tab/>
      <w:t>© IFRS Foundation</w:t>
    </w:r>
    <w:r>
      <w:tab/>
    </w:r>
    <w:r>
      <w:fldChar w:fldCharType="begin"/>
    </w:r>
    <w:r>
      <w:instrText>PAGE</w:instrText>
    </w:r>
    <w:r>
      <w:fldChar w:fldCharType="separate"/>
    </w:r>
    <w:r w:rsidR="00E54D8F">
      <w:rPr>
        <w:noProof/>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87B5" w14:textId="44860A0F" w:rsidR="00014FB0" w:rsidRDefault="001C3CBD">
    <w:pPr>
      <w:pStyle w:val="Podnoje"/>
    </w:pPr>
    <w:r>
      <w:tab/>
      <w:t>© IFRS Foundation</w:t>
    </w:r>
    <w:r>
      <w:tab/>
    </w:r>
    <w:r>
      <w:fldChar w:fldCharType="begin"/>
    </w:r>
    <w:r>
      <w:instrText>PAGE</w:instrText>
    </w:r>
    <w:r>
      <w:fldChar w:fldCharType="separate"/>
    </w:r>
    <w:r w:rsidR="00E54D8F">
      <w:rPr>
        <w:noProof/>
      </w:rPr>
      <w:t>21</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4854" w14:textId="653CBA50" w:rsidR="00014FB0" w:rsidRDefault="001C3CBD">
    <w:pPr>
      <w:pStyle w:val="Podnoje"/>
    </w:pPr>
    <w:r>
      <w:fldChar w:fldCharType="begin"/>
    </w:r>
    <w:r>
      <w:instrText>PAGE</w:instrText>
    </w:r>
    <w:r>
      <w:fldChar w:fldCharType="separate"/>
    </w:r>
    <w:r w:rsidR="00E54D8F">
      <w:rPr>
        <w:noProof/>
      </w:rPr>
      <w:t>24</w:t>
    </w:r>
    <w:r>
      <w:fldChar w:fldCharType="end"/>
    </w:r>
    <w:r>
      <w:tab/>
      <w:t>© IFRS Foundation</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AD938" w14:textId="65C4793C" w:rsidR="00014FB0" w:rsidRDefault="001C3CBD">
    <w:pPr>
      <w:pStyle w:val="Podnoje"/>
    </w:pPr>
    <w:r>
      <w:tab/>
      <w:t>© IFRS Foundation</w:t>
    </w:r>
    <w:r>
      <w:tab/>
    </w:r>
    <w:r>
      <w:fldChar w:fldCharType="begin"/>
    </w:r>
    <w:r>
      <w:instrText>PAGE</w:instrText>
    </w:r>
    <w:r>
      <w:fldChar w:fldCharType="separate"/>
    </w:r>
    <w:r w:rsidR="00E54D8F">
      <w:rPr>
        <w:noProof/>
      </w:rPr>
      <w:t>25</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66453" w14:textId="40B92AB5" w:rsidR="00014FB0" w:rsidRDefault="001C3CBD">
    <w:pPr>
      <w:pStyle w:val="Podnoje"/>
    </w:pPr>
    <w:r>
      <w:fldChar w:fldCharType="begin"/>
    </w:r>
    <w:r>
      <w:instrText>PAGE</w:instrText>
    </w:r>
    <w:r>
      <w:fldChar w:fldCharType="separate"/>
    </w:r>
    <w:r w:rsidR="00E54D8F">
      <w:rPr>
        <w:noProof/>
      </w:rPr>
      <w:t>26</w:t>
    </w:r>
    <w:r>
      <w:fldChar w:fldCharType="end"/>
    </w:r>
    <w:r>
      <w:tab/>
      <w:t>© IFRS Foundation</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2FD91" w14:textId="3D6BDB66" w:rsidR="00014FB0" w:rsidRDefault="001C3CBD">
    <w:pPr>
      <w:pStyle w:val="Podnoje"/>
    </w:pPr>
    <w:r>
      <w:tab/>
      <w:t>© IFRS Foundation</w:t>
    </w:r>
    <w:r>
      <w:tab/>
    </w:r>
    <w:r>
      <w:fldChar w:fldCharType="begin"/>
    </w:r>
    <w:r>
      <w:instrText>PAGE</w:instrText>
    </w:r>
    <w:r>
      <w:fldChar w:fldCharType="separate"/>
    </w:r>
    <w:r w:rsidR="00C355FD">
      <w:rPr>
        <w:noProof/>
      </w:rPr>
      <w:t>29</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669C" w14:textId="6DCCA168" w:rsidR="00014FB0" w:rsidRDefault="001C3CBD">
    <w:pPr>
      <w:pStyle w:val="Podnoje"/>
    </w:pPr>
    <w:r>
      <w:fldChar w:fldCharType="begin"/>
    </w:r>
    <w:r>
      <w:instrText>PAGE</w:instrText>
    </w:r>
    <w:r>
      <w:fldChar w:fldCharType="separate"/>
    </w:r>
    <w:r w:rsidR="00C355FD">
      <w:rPr>
        <w:noProof/>
      </w:rPr>
      <w:t>30</w:t>
    </w:r>
    <w:r>
      <w:fldChar w:fldCharType="end"/>
    </w:r>
    <w:r>
      <w:tab/>
      <w:t>© IFRS Foundation</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AA5CB" w14:textId="1AA832C1" w:rsidR="00014FB0" w:rsidRDefault="001C3CBD">
    <w:pPr>
      <w:pStyle w:val="Podnoje"/>
    </w:pPr>
    <w:r>
      <w:tab/>
      <w:t>© IFRS Foundation</w:t>
    </w:r>
    <w:r>
      <w:tab/>
    </w:r>
    <w:r>
      <w:fldChar w:fldCharType="begin"/>
    </w:r>
    <w:r>
      <w:instrText>PAGE</w:instrText>
    </w:r>
    <w:r>
      <w:fldChar w:fldCharType="separate"/>
    </w:r>
    <w:r w:rsidR="00E54D8F">
      <w:rPr>
        <w:noProof/>
      </w:rPr>
      <w:t>27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78E4" w14:textId="75B3C964" w:rsidR="00014FB0" w:rsidRDefault="001C3CBD">
    <w:pPr>
      <w:pStyle w:val="Podnoje"/>
    </w:pPr>
    <w:r>
      <w:fldChar w:fldCharType="begin"/>
    </w:r>
    <w:r>
      <w:instrText>PAGE</w:instrText>
    </w:r>
    <w:r>
      <w:fldChar w:fldCharType="separate"/>
    </w:r>
    <w:r w:rsidR="00E54D8F">
      <w:rPr>
        <w:noProof/>
      </w:rPr>
      <w:t>2</w:t>
    </w:r>
    <w:r>
      <w:fldChar w:fldCharType="end"/>
    </w:r>
    <w:r>
      <w:tab/>
      <w:t>© IFRS Foundation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3709E" w14:textId="0D420415" w:rsidR="00014FB0" w:rsidRDefault="001C3CBD">
    <w:pPr>
      <w:pStyle w:val="Podnoje"/>
    </w:pPr>
    <w:r>
      <w:tab/>
      <w:t>© IFRS Foundation</w:t>
    </w:r>
    <w:r>
      <w:tab/>
    </w:r>
    <w:r>
      <w:fldChar w:fldCharType="begin"/>
    </w:r>
    <w:r>
      <w:instrText>PAGE</w:instrText>
    </w:r>
    <w:r>
      <w:fldChar w:fldCharType="separate"/>
    </w:r>
    <w:r w:rsidR="00E54D8F">
      <w:rPr>
        <w:noProof/>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E3587" w14:textId="38A34BC2" w:rsidR="00014FB0" w:rsidRDefault="001C3CBD">
    <w:pPr>
      <w:pStyle w:val="Podnoje"/>
    </w:pPr>
    <w:r>
      <w:fldChar w:fldCharType="begin"/>
    </w:r>
    <w:r>
      <w:instrText>PAGE</w:instrText>
    </w:r>
    <w:r>
      <w:fldChar w:fldCharType="separate"/>
    </w:r>
    <w:r w:rsidR="00E54D8F">
      <w:rPr>
        <w:noProof/>
      </w:rPr>
      <w:t>4</w:t>
    </w:r>
    <w:r>
      <w:fldChar w:fldCharType="end"/>
    </w:r>
    <w:r>
      <w:tab/>
      <w:t>© IFRS Foundation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ED10A" w14:textId="42D13E33" w:rsidR="00014FB0" w:rsidRDefault="001C3CBD">
    <w:pPr>
      <w:pStyle w:val="Podnoje"/>
    </w:pPr>
    <w:r>
      <w:tab/>
      <w:t>© IFRS Foundation</w:t>
    </w:r>
    <w:r>
      <w:tab/>
    </w:r>
    <w:r>
      <w:fldChar w:fldCharType="begin"/>
    </w:r>
    <w:r>
      <w:instrText>PAGE</w:instrText>
    </w:r>
    <w:r>
      <w:fldChar w:fldCharType="separate"/>
    </w:r>
    <w:r>
      <w:rPr>
        <w:noProof/>
      </w:rPr>
      <w:t>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01B7" w14:textId="2B2A940B" w:rsidR="00014FB0" w:rsidRDefault="001C3CBD">
    <w:pPr>
      <w:pStyle w:val="Podnoje"/>
    </w:pPr>
    <w:r>
      <w:fldChar w:fldCharType="begin"/>
    </w:r>
    <w:r>
      <w:instrText>PAGE</w:instrText>
    </w:r>
    <w:r>
      <w:fldChar w:fldCharType="separate"/>
    </w:r>
    <w:r w:rsidR="00E54D8F">
      <w:rPr>
        <w:noProof/>
      </w:rPr>
      <w:t>6</w:t>
    </w:r>
    <w:r>
      <w:fldChar w:fldCharType="end"/>
    </w:r>
    <w:r>
      <w:tab/>
      <w:t>© IFRS Foundation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73466" w14:textId="6B9E18CE" w:rsidR="00014FB0" w:rsidRDefault="001C3CBD">
    <w:pPr>
      <w:pStyle w:val="Podnoje"/>
    </w:pPr>
    <w:r>
      <w:tab/>
      <w:t>© IFRS Foundation</w:t>
    </w:r>
    <w:r>
      <w:tab/>
    </w:r>
    <w:r>
      <w:fldChar w:fldCharType="begin"/>
    </w:r>
    <w:r>
      <w:instrText>PAGE</w:instrText>
    </w:r>
    <w:r>
      <w:fldChar w:fldCharType="separate"/>
    </w:r>
    <w:r w:rsidR="00E54D8F">
      <w:rPr>
        <w:noProof/>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B0231" w14:textId="704C09E9" w:rsidR="00014FB0" w:rsidRDefault="001C3CBD">
    <w:pPr>
      <w:pStyle w:val="Podnoje"/>
    </w:pPr>
    <w:r>
      <w:fldChar w:fldCharType="begin"/>
    </w:r>
    <w:r>
      <w:instrText>PAGE</w:instrText>
    </w:r>
    <w:r>
      <w:fldChar w:fldCharType="separate"/>
    </w:r>
    <w:r>
      <w:rPr>
        <w:noProof/>
      </w:rPr>
      <w:t>8</w:t>
    </w:r>
    <w:r>
      <w:fldChar w:fldCharType="end"/>
    </w:r>
    <w:r>
      <w:tab/>
      <w:t>© IFRS Foundation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10300" w14:textId="77777777" w:rsidR="00DC6AD9" w:rsidRDefault="00DC6AD9">
      <w:r>
        <w:separator/>
      </w:r>
    </w:p>
  </w:footnote>
  <w:footnote w:type="continuationSeparator" w:id="0">
    <w:p w14:paraId="73760A12" w14:textId="77777777" w:rsidR="00DC6AD9" w:rsidRDefault="00DC6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F65B1" w14:textId="77777777" w:rsidR="00014FB0" w:rsidRDefault="00014FB0">
    <w:pPr>
      <w:pStyle w:val="Zaglavlj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C487" w14:textId="77777777" w:rsidR="00014FB0" w:rsidRDefault="001C3CBD">
    <w:pPr>
      <w:pStyle w:val="Zaglavlje"/>
    </w:pP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CACEA" w14:textId="77777777" w:rsidR="00014FB0" w:rsidRDefault="00014FB0">
    <w:pPr>
      <w:pStyle w:val="Zaglavlj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573F" w14:textId="77777777" w:rsidR="00014FB0" w:rsidRDefault="001C3CBD">
    <w:pPr>
      <w:pStyle w:val="Zaglavlje"/>
    </w:pPr>
    <w:r>
      <w:tab/>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4460" w14:textId="77777777" w:rsidR="00014FB0" w:rsidRDefault="00014FB0">
    <w:pPr>
      <w:pStyle w:val="Zaglavlj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DCE99" w14:textId="77777777" w:rsidR="00014FB0" w:rsidRDefault="001C3CBD">
    <w:pPr>
      <w:pStyle w:val="Zaglavlje"/>
    </w:pPr>
    <w:r>
      <w:tab/>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636BB" w14:textId="77777777" w:rsidR="00014FB0" w:rsidRDefault="00014FB0">
    <w:pPr>
      <w:pStyle w:val="Zaglavlj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3D3ED" w14:textId="77777777" w:rsidR="00014FB0" w:rsidRDefault="001C3CBD">
    <w:pPr>
      <w:pStyle w:val="Zaglavlje"/>
    </w:pPr>
    <w:r>
      <w:tab/>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E571" w14:textId="77777777" w:rsidR="00014FB0" w:rsidRDefault="00014FB0">
    <w:pPr>
      <w:pStyle w:val="Zaglavlj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1955" w14:textId="77777777" w:rsidR="00014FB0" w:rsidRDefault="001C3CBD">
    <w:pPr>
      <w:pStyle w:val="Zaglavlje"/>
    </w:pPr>
    <w:r>
      <w:tab/>
    </w: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666AF" w14:textId="77777777" w:rsidR="00014FB0" w:rsidRDefault="00014FB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C1A2D" w14:textId="77777777" w:rsidR="00014FB0" w:rsidRDefault="001C3CBD">
    <w:pPr>
      <w:pStyle w:val="Zaglavlje"/>
    </w:pPr>
    <w:r>
      <w:tab/>
    </w: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6DD1" w14:textId="77777777" w:rsidR="00014FB0" w:rsidRDefault="001C3CBD">
    <w:pPr>
      <w:pStyle w:val="Zaglavlje"/>
    </w:pPr>
    <w:r>
      <w:tab/>
    </w: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0311A" w14:textId="77777777" w:rsidR="00014FB0" w:rsidRDefault="00014FB0">
    <w:pPr>
      <w:pStyle w:val="Zaglavlj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21989" w14:textId="77777777" w:rsidR="00014FB0" w:rsidRDefault="001C3CBD">
    <w:pPr>
      <w:pStyle w:val="Zaglavlje"/>
    </w:pPr>
    <w:r>
      <w:tab/>
    </w: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287A1" w14:textId="77777777" w:rsidR="00014FB0" w:rsidRDefault="00014FB0">
    <w:pPr>
      <w:pStyle w:val="Zaglavlj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1ED70" w14:textId="77777777" w:rsidR="00014FB0" w:rsidRDefault="001C3CBD">
    <w:pPr>
      <w:pStyle w:val="Zaglavlje"/>
    </w:pPr>
    <w:r>
      <w:tab/>
    </w:r>
    <w: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0641B" w14:textId="77777777" w:rsidR="00014FB0" w:rsidRDefault="00014FB0">
    <w:pPr>
      <w:pStyle w:val="Zaglavlje"/>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7EC5" w14:textId="77777777" w:rsidR="00014FB0" w:rsidRDefault="001C3CBD">
    <w:pPr>
      <w:pStyle w:val="Zaglavlje"/>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B3B64" w14:textId="77777777" w:rsidR="00014FB0" w:rsidRDefault="00014FB0">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B9F7" w14:textId="77777777" w:rsidR="00014FB0" w:rsidRDefault="001C3CBD">
    <w:pPr>
      <w:pStyle w:val="Zaglavlje"/>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5C341" w14:textId="77777777" w:rsidR="00014FB0" w:rsidRDefault="00014FB0">
    <w:pPr>
      <w:pStyle w:val="Zaglavlj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DDD15" w14:textId="77777777" w:rsidR="00014FB0" w:rsidRDefault="001C3CBD">
    <w:pPr>
      <w:pStyle w:val="Zaglavlje"/>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248B" w14:textId="77777777" w:rsidR="00014FB0" w:rsidRDefault="00014FB0">
    <w:pPr>
      <w:pStyle w:val="Zaglavlj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B257E" w14:textId="77777777" w:rsidR="00014FB0" w:rsidRDefault="001C3CBD">
    <w:pPr>
      <w:pStyle w:val="Zaglavlje"/>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A908" w14:textId="77777777" w:rsidR="00014FB0" w:rsidRDefault="00014FB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678A38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5CA6AC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736AC9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4B494B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67201E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1BE737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93ACF3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89C9AF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76E4E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4820F1"/>
    <w:multiLevelType w:val="multilevel"/>
    <w:tmpl w:val="09348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B0"/>
    <w:rsid w:val="0000452C"/>
    <w:rsid w:val="00014FB0"/>
    <w:rsid w:val="000233BD"/>
    <w:rsid w:val="00037DD7"/>
    <w:rsid w:val="0004102B"/>
    <w:rsid w:val="0004458D"/>
    <w:rsid w:val="00064102"/>
    <w:rsid w:val="00067371"/>
    <w:rsid w:val="00071B2C"/>
    <w:rsid w:val="0008137B"/>
    <w:rsid w:val="00081AF5"/>
    <w:rsid w:val="00082882"/>
    <w:rsid w:val="00083AD0"/>
    <w:rsid w:val="00086DA3"/>
    <w:rsid w:val="00097433"/>
    <w:rsid w:val="000A67B4"/>
    <w:rsid w:val="000A737D"/>
    <w:rsid w:val="000B36DC"/>
    <w:rsid w:val="000B3A41"/>
    <w:rsid w:val="000B4D55"/>
    <w:rsid w:val="000B5C34"/>
    <w:rsid w:val="000B6840"/>
    <w:rsid w:val="000C0B7E"/>
    <w:rsid w:val="000C6793"/>
    <w:rsid w:val="000D6D8B"/>
    <w:rsid w:val="000E0F8B"/>
    <w:rsid w:val="000F51FD"/>
    <w:rsid w:val="000F78B7"/>
    <w:rsid w:val="00106D63"/>
    <w:rsid w:val="00111490"/>
    <w:rsid w:val="001332E0"/>
    <w:rsid w:val="00135517"/>
    <w:rsid w:val="0014372C"/>
    <w:rsid w:val="0015305F"/>
    <w:rsid w:val="00153CF3"/>
    <w:rsid w:val="0016298B"/>
    <w:rsid w:val="00163FA1"/>
    <w:rsid w:val="001A2FFB"/>
    <w:rsid w:val="001B03F4"/>
    <w:rsid w:val="001B2F1A"/>
    <w:rsid w:val="001B7238"/>
    <w:rsid w:val="001C3CBD"/>
    <w:rsid w:val="001C486D"/>
    <w:rsid w:val="001C57F1"/>
    <w:rsid w:val="001D16F7"/>
    <w:rsid w:val="001D63A0"/>
    <w:rsid w:val="001E015A"/>
    <w:rsid w:val="001E11D2"/>
    <w:rsid w:val="001F1E49"/>
    <w:rsid w:val="001F6F40"/>
    <w:rsid w:val="00201AA9"/>
    <w:rsid w:val="00201D12"/>
    <w:rsid w:val="00221DF4"/>
    <w:rsid w:val="00225A87"/>
    <w:rsid w:val="002310F5"/>
    <w:rsid w:val="00242034"/>
    <w:rsid w:val="002420C1"/>
    <w:rsid w:val="002528B8"/>
    <w:rsid w:val="0026570F"/>
    <w:rsid w:val="002824FC"/>
    <w:rsid w:val="00292D94"/>
    <w:rsid w:val="00293010"/>
    <w:rsid w:val="00294A3C"/>
    <w:rsid w:val="0029709C"/>
    <w:rsid w:val="002A0759"/>
    <w:rsid w:val="002A215A"/>
    <w:rsid w:val="002A65DB"/>
    <w:rsid w:val="002A7E45"/>
    <w:rsid w:val="002B063D"/>
    <w:rsid w:val="002D1F71"/>
    <w:rsid w:val="002D7814"/>
    <w:rsid w:val="002E15BE"/>
    <w:rsid w:val="002E2FE9"/>
    <w:rsid w:val="002E545F"/>
    <w:rsid w:val="002F3438"/>
    <w:rsid w:val="00307D32"/>
    <w:rsid w:val="0031102B"/>
    <w:rsid w:val="003217F6"/>
    <w:rsid w:val="003249E2"/>
    <w:rsid w:val="00345D09"/>
    <w:rsid w:val="00347BAC"/>
    <w:rsid w:val="003521AD"/>
    <w:rsid w:val="00353A1A"/>
    <w:rsid w:val="00356CD0"/>
    <w:rsid w:val="003727BB"/>
    <w:rsid w:val="00382A80"/>
    <w:rsid w:val="0038792E"/>
    <w:rsid w:val="003B0A2E"/>
    <w:rsid w:val="003B4220"/>
    <w:rsid w:val="003C111B"/>
    <w:rsid w:val="003C370F"/>
    <w:rsid w:val="003C3EBB"/>
    <w:rsid w:val="003C7C87"/>
    <w:rsid w:val="003D6C5C"/>
    <w:rsid w:val="003E0C89"/>
    <w:rsid w:val="003E4159"/>
    <w:rsid w:val="003F189B"/>
    <w:rsid w:val="003F43BF"/>
    <w:rsid w:val="003F7D17"/>
    <w:rsid w:val="00426697"/>
    <w:rsid w:val="00430FBB"/>
    <w:rsid w:val="00431203"/>
    <w:rsid w:val="0044690B"/>
    <w:rsid w:val="00446B24"/>
    <w:rsid w:val="00452683"/>
    <w:rsid w:val="00454139"/>
    <w:rsid w:val="004606F3"/>
    <w:rsid w:val="0046281C"/>
    <w:rsid w:val="00463DED"/>
    <w:rsid w:val="00464E07"/>
    <w:rsid w:val="00486BB2"/>
    <w:rsid w:val="00491E33"/>
    <w:rsid w:val="004939E1"/>
    <w:rsid w:val="004A277F"/>
    <w:rsid w:val="004A779A"/>
    <w:rsid w:val="004A7FDF"/>
    <w:rsid w:val="004C2C16"/>
    <w:rsid w:val="004C73DF"/>
    <w:rsid w:val="004C756A"/>
    <w:rsid w:val="004D691F"/>
    <w:rsid w:val="004E2759"/>
    <w:rsid w:val="004F6AD9"/>
    <w:rsid w:val="004F780B"/>
    <w:rsid w:val="00520DD1"/>
    <w:rsid w:val="00522B24"/>
    <w:rsid w:val="00522C10"/>
    <w:rsid w:val="00524CC3"/>
    <w:rsid w:val="005270B1"/>
    <w:rsid w:val="00544FA3"/>
    <w:rsid w:val="005519C8"/>
    <w:rsid w:val="00553577"/>
    <w:rsid w:val="005540B9"/>
    <w:rsid w:val="0055584B"/>
    <w:rsid w:val="00557140"/>
    <w:rsid w:val="00563365"/>
    <w:rsid w:val="00572C07"/>
    <w:rsid w:val="0057372D"/>
    <w:rsid w:val="0058214A"/>
    <w:rsid w:val="00594A21"/>
    <w:rsid w:val="005A6568"/>
    <w:rsid w:val="005B487A"/>
    <w:rsid w:val="005C04D1"/>
    <w:rsid w:val="005C6F5A"/>
    <w:rsid w:val="005D3696"/>
    <w:rsid w:val="005D47B8"/>
    <w:rsid w:val="005D58E9"/>
    <w:rsid w:val="005D62A7"/>
    <w:rsid w:val="005D6C99"/>
    <w:rsid w:val="005E1E08"/>
    <w:rsid w:val="005F52BC"/>
    <w:rsid w:val="005F5CE7"/>
    <w:rsid w:val="00601D5C"/>
    <w:rsid w:val="006062B9"/>
    <w:rsid w:val="006064EF"/>
    <w:rsid w:val="00611E79"/>
    <w:rsid w:val="00612348"/>
    <w:rsid w:val="006352B8"/>
    <w:rsid w:val="0065683F"/>
    <w:rsid w:val="006673DB"/>
    <w:rsid w:val="00674A51"/>
    <w:rsid w:val="006854F6"/>
    <w:rsid w:val="0069091B"/>
    <w:rsid w:val="006940C3"/>
    <w:rsid w:val="00696E62"/>
    <w:rsid w:val="006B054E"/>
    <w:rsid w:val="006B0999"/>
    <w:rsid w:val="006B510D"/>
    <w:rsid w:val="006B6A5A"/>
    <w:rsid w:val="006E3624"/>
    <w:rsid w:val="006E42E3"/>
    <w:rsid w:val="006F0BBC"/>
    <w:rsid w:val="00702CCA"/>
    <w:rsid w:val="00706134"/>
    <w:rsid w:val="00722288"/>
    <w:rsid w:val="007308CE"/>
    <w:rsid w:val="007363CF"/>
    <w:rsid w:val="007371BA"/>
    <w:rsid w:val="0074078A"/>
    <w:rsid w:val="007479EC"/>
    <w:rsid w:val="00756A1E"/>
    <w:rsid w:val="00770220"/>
    <w:rsid w:val="007720A9"/>
    <w:rsid w:val="007847B3"/>
    <w:rsid w:val="00787D50"/>
    <w:rsid w:val="007A6F02"/>
    <w:rsid w:val="007B7AA7"/>
    <w:rsid w:val="007C670A"/>
    <w:rsid w:val="007D3399"/>
    <w:rsid w:val="007E2A04"/>
    <w:rsid w:val="007E3873"/>
    <w:rsid w:val="007F1A13"/>
    <w:rsid w:val="007F22B9"/>
    <w:rsid w:val="007F50EE"/>
    <w:rsid w:val="00800391"/>
    <w:rsid w:val="00804888"/>
    <w:rsid w:val="00820096"/>
    <w:rsid w:val="00830FDE"/>
    <w:rsid w:val="00831996"/>
    <w:rsid w:val="00831A97"/>
    <w:rsid w:val="00833EA5"/>
    <w:rsid w:val="00834FC1"/>
    <w:rsid w:val="008449A3"/>
    <w:rsid w:val="00851278"/>
    <w:rsid w:val="00856595"/>
    <w:rsid w:val="00856A63"/>
    <w:rsid w:val="00856B89"/>
    <w:rsid w:val="00856C9E"/>
    <w:rsid w:val="00873329"/>
    <w:rsid w:val="00892CBE"/>
    <w:rsid w:val="0089347B"/>
    <w:rsid w:val="00897C30"/>
    <w:rsid w:val="008C7E86"/>
    <w:rsid w:val="008D0462"/>
    <w:rsid w:val="008D465A"/>
    <w:rsid w:val="00912A94"/>
    <w:rsid w:val="0091356E"/>
    <w:rsid w:val="0091602E"/>
    <w:rsid w:val="00930BD4"/>
    <w:rsid w:val="00933E60"/>
    <w:rsid w:val="00937F45"/>
    <w:rsid w:val="00943F31"/>
    <w:rsid w:val="00944398"/>
    <w:rsid w:val="0094693E"/>
    <w:rsid w:val="00952469"/>
    <w:rsid w:val="009549BF"/>
    <w:rsid w:val="00954FC1"/>
    <w:rsid w:val="0095591B"/>
    <w:rsid w:val="00974ABC"/>
    <w:rsid w:val="00981AE2"/>
    <w:rsid w:val="00984157"/>
    <w:rsid w:val="00992611"/>
    <w:rsid w:val="009A269C"/>
    <w:rsid w:val="009B5C3E"/>
    <w:rsid w:val="009C1324"/>
    <w:rsid w:val="009C4621"/>
    <w:rsid w:val="009C7871"/>
    <w:rsid w:val="009D46A0"/>
    <w:rsid w:val="009D643F"/>
    <w:rsid w:val="009E1D64"/>
    <w:rsid w:val="009F2692"/>
    <w:rsid w:val="009F3711"/>
    <w:rsid w:val="00A00B8D"/>
    <w:rsid w:val="00A0125F"/>
    <w:rsid w:val="00A0254B"/>
    <w:rsid w:val="00A15A13"/>
    <w:rsid w:val="00A32EC8"/>
    <w:rsid w:val="00A408FC"/>
    <w:rsid w:val="00A4149E"/>
    <w:rsid w:val="00A44276"/>
    <w:rsid w:val="00A5594A"/>
    <w:rsid w:val="00A65713"/>
    <w:rsid w:val="00A67E98"/>
    <w:rsid w:val="00A75706"/>
    <w:rsid w:val="00A90A86"/>
    <w:rsid w:val="00A92D4A"/>
    <w:rsid w:val="00A94CC5"/>
    <w:rsid w:val="00A95AF3"/>
    <w:rsid w:val="00AB5B5E"/>
    <w:rsid w:val="00AB7BD8"/>
    <w:rsid w:val="00AD5E4C"/>
    <w:rsid w:val="00AD7704"/>
    <w:rsid w:val="00B133AA"/>
    <w:rsid w:val="00B138D4"/>
    <w:rsid w:val="00B178CB"/>
    <w:rsid w:val="00B21987"/>
    <w:rsid w:val="00B339A5"/>
    <w:rsid w:val="00B34104"/>
    <w:rsid w:val="00B42E4E"/>
    <w:rsid w:val="00B43E7F"/>
    <w:rsid w:val="00B55C32"/>
    <w:rsid w:val="00B64F44"/>
    <w:rsid w:val="00B84C34"/>
    <w:rsid w:val="00B853E1"/>
    <w:rsid w:val="00B8548A"/>
    <w:rsid w:val="00BA5390"/>
    <w:rsid w:val="00BB31EA"/>
    <w:rsid w:val="00BB44BD"/>
    <w:rsid w:val="00BC1EF4"/>
    <w:rsid w:val="00BC2647"/>
    <w:rsid w:val="00BC7130"/>
    <w:rsid w:val="00BE3B7A"/>
    <w:rsid w:val="00C04F42"/>
    <w:rsid w:val="00C10024"/>
    <w:rsid w:val="00C1244C"/>
    <w:rsid w:val="00C2597B"/>
    <w:rsid w:val="00C355FD"/>
    <w:rsid w:val="00C50393"/>
    <w:rsid w:val="00C60127"/>
    <w:rsid w:val="00C61DD4"/>
    <w:rsid w:val="00C74DF5"/>
    <w:rsid w:val="00C76102"/>
    <w:rsid w:val="00C7664D"/>
    <w:rsid w:val="00C92E58"/>
    <w:rsid w:val="00CC1542"/>
    <w:rsid w:val="00CF3EBB"/>
    <w:rsid w:val="00CF5079"/>
    <w:rsid w:val="00D06582"/>
    <w:rsid w:val="00D11AE6"/>
    <w:rsid w:val="00D15568"/>
    <w:rsid w:val="00D24BE5"/>
    <w:rsid w:val="00D3746F"/>
    <w:rsid w:val="00D4444C"/>
    <w:rsid w:val="00D457EF"/>
    <w:rsid w:val="00D52E50"/>
    <w:rsid w:val="00D57DB9"/>
    <w:rsid w:val="00D77EB9"/>
    <w:rsid w:val="00D9417C"/>
    <w:rsid w:val="00D970B0"/>
    <w:rsid w:val="00DA7F27"/>
    <w:rsid w:val="00DB0B1F"/>
    <w:rsid w:val="00DC21A8"/>
    <w:rsid w:val="00DC4EA3"/>
    <w:rsid w:val="00DC6AD9"/>
    <w:rsid w:val="00DD6F10"/>
    <w:rsid w:val="00DE63F0"/>
    <w:rsid w:val="00DF04F0"/>
    <w:rsid w:val="00DF65E9"/>
    <w:rsid w:val="00E0251B"/>
    <w:rsid w:val="00E0303F"/>
    <w:rsid w:val="00E13604"/>
    <w:rsid w:val="00E30C0E"/>
    <w:rsid w:val="00E40097"/>
    <w:rsid w:val="00E44438"/>
    <w:rsid w:val="00E46598"/>
    <w:rsid w:val="00E50C78"/>
    <w:rsid w:val="00E54D8F"/>
    <w:rsid w:val="00E57D9D"/>
    <w:rsid w:val="00E6452B"/>
    <w:rsid w:val="00E669CD"/>
    <w:rsid w:val="00E67C0D"/>
    <w:rsid w:val="00E73B12"/>
    <w:rsid w:val="00E80B42"/>
    <w:rsid w:val="00E8240D"/>
    <w:rsid w:val="00E871B3"/>
    <w:rsid w:val="00EA4922"/>
    <w:rsid w:val="00EB0E3B"/>
    <w:rsid w:val="00EB2AF8"/>
    <w:rsid w:val="00EC64A4"/>
    <w:rsid w:val="00EE001E"/>
    <w:rsid w:val="00EE04F2"/>
    <w:rsid w:val="00EE2662"/>
    <w:rsid w:val="00EE2704"/>
    <w:rsid w:val="00EF539C"/>
    <w:rsid w:val="00EF5D0A"/>
    <w:rsid w:val="00F04D46"/>
    <w:rsid w:val="00F07D2C"/>
    <w:rsid w:val="00F1158E"/>
    <w:rsid w:val="00F1217F"/>
    <w:rsid w:val="00F12FFD"/>
    <w:rsid w:val="00F1601B"/>
    <w:rsid w:val="00F21712"/>
    <w:rsid w:val="00F37F99"/>
    <w:rsid w:val="00F5438F"/>
    <w:rsid w:val="00F73780"/>
    <w:rsid w:val="00F771F1"/>
    <w:rsid w:val="00F920DE"/>
    <w:rsid w:val="00F922C9"/>
    <w:rsid w:val="00FB0AB4"/>
    <w:rsid w:val="00FC25EC"/>
    <w:rsid w:val="00FC6DD1"/>
    <w:rsid w:val="00FC6E68"/>
    <w:rsid w:val="00FC6ED0"/>
    <w:rsid w:val="00FD1A50"/>
    <w:rsid w:val="00FE1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19B1"/>
  <w15:docId w15:val="{D24EE60A-FD71-4686-8B76-693E973F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882"/>
    <w:pPr>
      <w:spacing w:after="0" w:line="240" w:lineRule="auto"/>
    </w:pPr>
    <w:rPr>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IASBNormal">
    <w:name w:val="IASB Normal"/>
    <w:pPr>
      <w:tabs>
        <w:tab w:val="left" w:pos="4253"/>
      </w:tabs>
      <w:spacing w:before="100" w:after="100" w:line="240" w:lineRule="auto"/>
      <w:jc w:val="both"/>
    </w:pPr>
    <w:rPr>
      <w:sz w:val="19"/>
      <w:szCs w:val="20"/>
      <w:lang w:val="en-US" w:eastAsia="en-US"/>
    </w:rPr>
  </w:style>
  <w:style w:type="paragraph" w:customStyle="1" w:styleId="IASBNormalArial">
    <w:name w:val="IASB Normal Arial"/>
    <w:pPr>
      <w:tabs>
        <w:tab w:val="left" w:pos="4253"/>
      </w:tabs>
      <w:spacing w:before="100" w:after="100" w:line="240" w:lineRule="auto"/>
      <w:jc w:val="both"/>
    </w:pPr>
    <w:rPr>
      <w:rFonts w:ascii="Arial" w:hAnsi="Arial"/>
      <w:sz w:val="19"/>
      <w:szCs w:val="20"/>
      <w:lang w:val="en-US"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Normal"/>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Normal"/>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Normal"/>
    <w:pPr>
      <w:keepNext/>
      <w:keepLines/>
      <w:spacing w:before="300" w:after="200"/>
    </w:pPr>
    <w:rPr>
      <w:rFonts w:ascii="Arial" w:hAnsi="Arial" w:cs="Arial"/>
      <w:b/>
      <w:sz w:val="26"/>
      <w:szCs w:val="20"/>
      <w:lang w:val="en-US"/>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Normal"/>
    <w:pPr>
      <w:keepNext/>
      <w:keepLines/>
      <w:spacing w:before="300" w:after="200"/>
    </w:pPr>
    <w:rPr>
      <w:rFonts w:ascii="Arial" w:hAnsi="Arial" w:cs="Arial"/>
      <w:b/>
      <w:sz w:val="22"/>
      <w:szCs w:val="20"/>
      <w:lang w:val="en-US"/>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Normal"/>
    <w:pPr>
      <w:keepNext/>
      <w:keepLines/>
      <w:spacing w:before="300" w:after="200"/>
    </w:pPr>
    <w:rPr>
      <w:rFonts w:ascii="Arial" w:hAnsi="Arial" w:cs="Arial"/>
      <w:i/>
      <w:sz w:val="22"/>
      <w:szCs w:val="20"/>
      <w:lang w:val="en-US"/>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Normal"/>
    <w:rsid w:val="00E20281"/>
    <w:pPr>
      <w:keepNext/>
      <w:keepLines/>
      <w:spacing w:before="300" w:after="200"/>
    </w:pPr>
    <w:rPr>
      <w:rFonts w:ascii="Arial" w:hAnsi="Arial" w:cs="Arial"/>
      <w:b/>
      <w:sz w:val="19"/>
      <w:szCs w:val="20"/>
      <w:lang w:val="en-US"/>
    </w:rPr>
  </w:style>
  <w:style w:type="paragraph" w:customStyle="1" w:styleId="IASBSectionTitle5Ind">
    <w:name w:val="IASB Section Title 5 Ind"/>
    <w:basedOn w:val="IASBSectionTitle5NonInd"/>
    <w:rsid w:val="00E20281"/>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line="240" w:lineRule="auto"/>
    </w:pPr>
    <w:rPr>
      <w:rFonts w:cs="Arial"/>
      <w:sz w:val="36"/>
      <w:szCs w:val="20"/>
      <w:lang w:val="en-US" w:eastAsia="en-US"/>
    </w:rPr>
  </w:style>
  <w:style w:type="paragraph" w:customStyle="1" w:styleId="IASBNormalnparaL1">
    <w:name w:val="IASB Normal nparaL1"/>
    <w:basedOn w:val="IASBNormalnpara"/>
    <w:pPr>
      <w:ind w:left="1564"/>
    </w:pPr>
  </w:style>
  <w:style w:type="paragraph" w:customStyle="1" w:styleId="IASBNormalArialnparaL1">
    <w:name w:val="IASB Normal Arial nparaL1"/>
    <w:basedOn w:val="IASBNormalnpara"/>
    <w:pPr>
      <w:ind w:left="1564"/>
    </w:pPr>
    <w:rPr>
      <w:rFonts w:ascii="Arial" w:hAnsi="Arial"/>
    </w:r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Primary">
    <w:name w:val="IASB TOC Primary Primary"/>
    <w:basedOn w:val="Normal"/>
    <w:pPr>
      <w:tabs>
        <w:tab w:val="right" w:pos="8647"/>
      </w:tabs>
      <w:spacing w:before="100" w:after="100"/>
    </w:pPr>
    <w:rPr>
      <w:rFonts w:ascii="Arial" w:hAnsi="Arial" w:cs="Arial"/>
      <w:b/>
      <w:caps/>
      <w:sz w:val="20"/>
      <w:szCs w:val="20"/>
      <w:lang w:val="en-US"/>
    </w:rPr>
  </w:style>
  <w:style w:type="paragraph" w:customStyle="1" w:styleId="IASBTOCPrimaryMixedCase">
    <w:name w:val="IASB TOC Primary Mixed Case"/>
    <w:basedOn w:val="Normal"/>
    <w:pPr>
      <w:tabs>
        <w:tab w:val="right" w:pos="8647"/>
      </w:tabs>
      <w:spacing w:before="100" w:after="100"/>
    </w:pPr>
    <w:rPr>
      <w:rFonts w:ascii="Arial" w:hAnsi="Arial" w:cs="Arial"/>
      <w:b/>
      <w:sz w:val="20"/>
      <w:szCs w:val="20"/>
      <w:lang w:val="en-US"/>
    </w:rPr>
  </w:style>
  <w:style w:type="paragraph" w:customStyle="1" w:styleId="IASBTOCPrimary">
    <w:name w:val="IASB TOC Primary"/>
    <w:basedOn w:val="Normal"/>
    <w:pPr>
      <w:tabs>
        <w:tab w:val="right" w:pos="8647"/>
      </w:tabs>
      <w:spacing w:before="100" w:after="100"/>
    </w:pPr>
    <w:rPr>
      <w:rFonts w:ascii="Arial" w:hAnsi="Arial" w:cs="Arial"/>
      <w:b/>
      <w:caps/>
      <w:sz w:val="18"/>
      <w:szCs w:val="20"/>
      <w:lang w:val="en-US"/>
    </w:rPr>
  </w:style>
  <w:style w:type="paragraph" w:customStyle="1" w:styleId="IASBTOCParagraph">
    <w:name w:val="IASB TOC Paragraph"/>
    <w:basedOn w:val="Normal"/>
    <w:pPr>
      <w:spacing w:before="30" w:after="30"/>
    </w:pPr>
    <w:rPr>
      <w:rFonts w:ascii="Arial" w:hAnsi="Arial" w:cs="Arial"/>
      <w:i/>
      <w:sz w:val="18"/>
      <w:szCs w:val="20"/>
      <w:lang w:val="en-US"/>
    </w:rPr>
  </w:style>
  <w:style w:type="paragraph" w:customStyle="1" w:styleId="IASBTOCSecondary">
    <w:name w:val="IASB TOC Secondary"/>
    <w:basedOn w:val="Normal"/>
    <w:pPr>
      <w:tabs>
        <w:tab w:val="right" w:pos="8647"/>
      </w:tabs>
      <w:spacing w:before="30" w:after="30"/>
    </w:pPr>
    <w:rPr>
      <w:rFonts w:ascii="Arial" w:hAnsi="Arial" w:cs="Arial"/>
      <w:b/>
      <w:sz w:val="18"/>
      <w:szCs w:val="20"/>
      <w:lang w:val="en-US"/>
    </w:rPr>
  </w:style>
  <w:style w:type="paragraph" w:customStyle="1" w:styleId="IASBTOCTertiary">
    <w:name w:val="IASB TOC Tertiary"/>
    <w:basedOn w:val="Normal"/>
    <w:pPr>
      <w:tabs>
        <w:tab w:val="right" w:pos="8647"/>
      </w:tabs>
      <w:spacing w:before="30" w:after="30"/>
      <w:ind w:left="390"/>
    </w:pPr>
    <w:rPr>
      <w:rFonts w:ascii="Arial" w:hAnsi="Arial" w:cs="Arial"/>
      <w:sz w:val="18"/>
      <w:szCs w:val="20"/>
      <w:lang w:val="en-US"/>
    </w:rPr>
  </w:style>
  <w:style w:type="paragraph" w:customStyle="1" w:styleId="IASBTOCExternal">
    <w:name w:val="IASB TOC External"/>
    <w:basedOn w:val="Normal"/>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lang w:val="en-US"/>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rsid w:val="00E9784B"/>
  </w:style>
  <w:style w:type="paragraph" w:customStyle="1" w:styleId="IASBBlockquote">
    <w:name w:val="IASB Blockquote"/>
    <w:basedOn w:val="IASBNormal"/>
    <w:pPr>
      <w:ind w:left="1565"/>
    </w:pPr>
    <w:rPr>
      <w:sz w:val="16"/>
    </w:rPr>
  </w:style>
  <w:style w:type="character" w:customStyle="1" w:styleId="IASBEduinsert">
    <w:name w:val="IASB Edu insert"/>
    <w:qFormat/>
  </w:style>
  <w:style w:type="character" w:styleId="Referencafusnote">
    <w:name w:val="footnote reference"/>
    <w:basedOn w:val="Zadanifontodlomka"/>
    <w:uiPriority w:val="99"/>
    <w:semiHidden/>
    <w:unhideWhenUsed/>
    <w:rPr>
      <w:rFonts w:cs="Times New Roman"/>
      <w:vertAlign w:val="superscript"/>
    </w:rPr>
  </w:style>
  <w:style w:type="paragraph" w:styleId="Tekstfusnote">
    <w:name w:val="footnote text"/>
    <w:basedOn w:val="IASBSectionTitle2Ind"/>
    <w:next w:val="IASBBlockquote"/>
    <w:uiPriority w:val="99"/>
    <w:semiHidden/>
    <w:rsid w:val="00B35882"/>
    <w:pPr>
      <w:keepNext w:val="0"/>
      <w:spacing w:before="0" w:after="0"/>
      <w:ind w:hanging="782"/>
    </w:pPr>
    <w:rPr>
      <w:rFonts w:ascii="Times New Roman" w:hAnsi="Times New Roman" w:cs="Times New Roman"/>
      <w:b w:val="0"/>
      <w:sz w:val="16"/>
    </w:rPr>
  </w:style>
  <w:style w:type="paragraph" w:customStyle="1" w:styleId="edufootnotetext">
    <w:name w:val="edu footnote text"/>
    <w:basedOn w:val="IASBSectionTitle2Ind"/>
    <w:next w:val="IASBBlockquote"/>
    <w:link w:val="FootnoteTextChar"/>
    <w:uiPriority w:val="99"/>
    <w:semiHidden/>
    <w:rsid w:val="00713675"/>
    <w:pPr>
      <w:keepNext w:val="0"/>
      <w:keepLines w:val="0"/>
      <w:spacing w:before="0" w:after="0"/>
      <w:ind w:hanging="782"/>
    </w:pPr>
    <w:rPr>
      <w:sz w:val="16"/>
    </w:rPr>
  </w:style>
  <w:style w:type="character" w:customStyle="1" w:styleId="FootnoteTextChar">
    <w:name w:val="Footnote Text Char"/>
    <w:basedOn w:val="Zadanifontodlomka"/>
    <w:link w:val="edufootnotetext"/>
    <w:uiPriority w:val="99"/>
    <w:semiHidden/>
    <w:rPr>
      <w:sz w:val="20"/>
      <w:szCs w:val="20"/>
      <w:lang w:eastAsia="en-US"/>
    </w:rPr>
  </w:style>
  <w:style w:type="paragraph" w:customStyle="1" w:styleId="IASBNormalL1">
    <w:name w:val="IASB Normal L1"/>
    <w:basedOn w:val="IASBNormalnpara"/>
  </w:style>
  <w:style w:type="paragraph" w:customStyle="1" w:styleId="IASBNormalArialL1">
    <w:name w:val="IASB Normal Arial L1"/>
    <w:basedOn w:val="IASBNormalnpara"/>
    <w:rPr>
      <w:rFonts w:ascii="Arial" w:hAnsi="Arial"/>
    </w:rPr>
  </w:style>
  <w:style w:type="paragraph" w:styleId="Zaglavlje">
    <w:name w:val="header"/>
    <w:basedOn w:val="Normal"/>
    <w:link w:val="ZaglavljeChar"/>
    <w:uiPriority w:val="99"/>
    <w:pPr>
      <w:tabs>
        <w:tab w:val="center" w:pos="4320"/>
        <w:tab w:val="right" w:pos="8640"/>
      </w:tabs>
    </w:pPr>
  </w:style>
  <w:style w:type="character" w:customStyle="1" w:styleId="ZaglavljeChar">
    <w:name w:val="Zaglavlje Char"/>
    <w:basedOn w:val="Zadanifontodlomka"/>
    <w:link w:val="Zaglavlje"/>
    <w:uiPriority w:val="99"/>
    <w:semiHidden/>
    <w:rPr>
      <w:sz w:val="24"/>
      <w:szCs w:val="24"/>
      <w:lang w:eastAsia="en-US"/>
    </w:rPr>
  </w:style>
  <w:style w:type="paragraph" w:styleId="Podnoje">
    <w:name w:val="footer"/>
    <w:basedOn w:val="Normal"/>
    <w:link w:val="PodnojeChar"/>
    <w:uiPriority w:val="99"/>
    <w:pPr>
      <w:tabs>
        <w:tab w:val="center" w:pos="4320"/>
        <w:tab w:val="right" w:pos="8640"/>
      </w:tabs>
    </w:pPr>
  </w:style>
  <w:style w:type="character" w:customStyle="1" w:styleId="PodnojeChar">
    <w:name w:val="Podnožje Char"/>
    <w:basedOn w:val="Zadanifontodlomka"/>
    <w:link w:val="Podnoje"/>
    <w:uiPriority w:val="99"/>
    <w:semiHidden/>
    <w:rPr>
      <w:sz w:val="24"/>
      <w:szCs w:val="24"/>
      <w:lang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ArialnparaL2">
    <w:name w:val="IASB Normal Arial nparaL2"/>
    <w:basedOn w:val="IASBNormalnparaL1"/>
    <w:pPr>
      <w:ind w:left="2347"/>
    </w:pPr>
    <w:rPr>
      <w:rFonts w:ascii="Arial" w:hAnsi="Arial"/>
    </w:rPr>
  </w:style>
  <w:style w:type="paragraph" w:customStyle="1" w:styleId="IASBNormalArialnparaL3">
    <w:name w:val="IASB Normal Arial nparaL3"/>
    <w:basedOn w:val="IASBNormalnparaL2"/>
    <w:pPr>
      <w:ind w:left="3129"/>
    </w:pPr>
    <w:rPr>
      <w:rFonts w:ascii="Arial" w:hAnsi="Arial"/>
    </w:rPr>
  </w:style>
  <w:style w:type="paragraph" w:customStyle="1" w:styleId="IASBNormalArialnparaL4">
    <w:name w:val="IASB Normal Arial nparaL4"/>
    <w:basedOn w:val="IASBNormalnparaL3"/>
    <w:pPr>
      <w:ind w:left="3912"/>
    </w:pPr>
    <w:rPr>
      <w:rFonts w:ascii="Arial" w:hAnsi="Arial"/>
    </w:rPr>
  </w:style>
  <w:style w:type="paragraph" w:customStyle="1" w:styleId="IASBNormalArialnparaL5">
    <w:name w:val="IASB Normal Arial nparaL5"/>
    <w:basedOn w:val="IASBNormalnparaL4"/>
    <w:pPr>
      <w:ind w:left="4694"/>
    </w:pPr>
    <w:rPr>
      <w:rFonts w:ascii="Arial" w:hAnsi="Arial"/>
    </w:r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NormalArialL2">
    <w:name w:val="IASB Normal Arial L2"/>
    <w:basedOn w:val="IASBNormalL1"/>
    <w:pPr>
      <w:ind w:left="1564"/>
    </w:pPr>
    <w:rPr>
      <w:rFonts w:ascii="Arial" w:hAnsi="Arial"/>
    </w:r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qFormat/>
    <w:pPr>
      <w:ind w:firstLine="0"/>
    </w:pPr>
  </w:style>
  <w:style w:type="paragraph" w:customStyle="1" w:styleId="IASBNormalL2P">
    <w:name w:val="IASB Normal L2P"/>
    <w:basedOn w:val="IASBNormalL1P"/>
    <w:qFormat/>
    <w:pPr>
      <w:ind w:left="1565"/>
    </w:pPr>
  </w:style>
  <w:style w:type="paragraph" w:customStyle="1" w:styleId="IASBNormalnparaC">
    <w:name w:val="IASB Normal nparaC"/>
    <w:basedOn w:val="IASBNormalnpara"/>
    <w:qFormat/>
    <w:pPr>
      <w:spacing w:before="0"/>
    </w:pPr>
  </w:style>
  <w:style w:type="paragraph" w:customStyle="1" w:styleId="IASBEdupara">
    <w:name w:val="IASB Edu para"/>
    <w:basedOn w:val="IASBNormal"/>
    <w:qFormat/>
  </w:style>
  <w:style w:type="paragraph" w:customStyle="1" w:styleId="IASBTableBoldTNR">
    <w:name w:val="IASB Table Bold TNR"/>
    <w:basedOn w:val="Normal"/>
    <w:qFormat/>
    <w:pPr>
      <w:spacing w:before="120"/>
    </w:pPr>
    <w:rPr>
      <w:b/>
      <w:sz w:val="19"/>
      <w:szCs w:val="20"/>
      <w:lang w:eastAsia="en-GB"/>
    </w:rPr>
  </w:style>
  <w:style w:type="paragraph" w:customStyle="1" w:styleId="IASBTableHeaderTNR">
    <w:name w:val="IASB Table Header TNR"/>
    <w:basedOn w:val="Normal"/>
    <w:qFormat/>
    <w:pPr>
      <w:keepNext/>
      <w:spacing w:before="120" w:after="200" w:line="276" w:lineRule="auto"/>
    </w:pPr>
    <w:rPr>
      <w:sz w:val="19"/>
      <w:szCs w:val="20"/>
      <w:lang w:eastAsia="en-GB"/>
    </w:rPr>
  </w:style>
  <w:style w:type="paragraph" w:customStyle="1" w:styleId="IASBTableTNR">
    <w:name w:val="IASB Table TNR"/>
    <w:basedOn w:val="Normal"/>
    <w:qFormat/>
    <w:pPr>
      <w:spacing w:before="120"/>
    </w:pPr>
    <w:rPr>
      <w:sz w:val="19"/>
      <w:szCs w:val="20"/>
      <w:lang w:eastAsia="en-GB"/>
    </w:rPr>
  </w:style>
  <w:style w:type="paragraph" w:customStyle="1" w:styleId="IASBTableNormal">
    <w:name w:val="IASB Table Normal"/>
    <w:basedOn w:val="Normal"/>
    <w:pPr>
      <w:spacing w:before="80" w:after="60"/>
    </w:pPr>
    <w:rPr>
      <w:sz w:val="19"/>
      <w:szCs w:val="20"/>
      <w:lang w:eastAsia="en-GB"/>
    </w:rPr>
  </w:style>
  <w:style w:type="paragraph" w:customStyle="1" w:styleId="IASBTableArial">
    <w:name w:val="IASB Table Arial"/>
    <w:basedOn w:val="Normal"/>
    <w:pPr>
      <w:spacing w:before="120"/>
    </w:pPr>
    <w:rPr>
      <w:rFonts w:ascii="Arial" w:hAnsi="Arial"/>
      <w:sz w:val="18"/>
      <w:szCs w:val="20"/>
      <w:lang w:eastAsia="en-GB"/>
    </w:rPr>
  </w:style>
  <w:style w:type="paragraph" w:customStyle="1" w:styleId="IASBTableBoldArial">
    <w:name w:val="IASB Table Bold Arial"/>
    <w:basedOn w:val="IASBTableArial"/>
    <w:qFormat/>
    <w:pPr>
      <w:spacing w:after="60"/>
    </w:pPr>
    <w:rPr>
      <w:b/>
    </w:rPr>
  </w:style>
  <w:style w:type="paragraph" w:customStyle="1" w:styleId="IASBTableHeaderArial">
    <w:name w:val="IASB Table Header Arial"/>
    <w:basedOn w:val="IASBTableArial"/>
    <w:qFormat/>
    <w:pPr>
      <w:keepNext/>
      <w:spacing w:after="100"/>
    </w:pPr>
    <w:rPr>
      <w:b/>
    </w:rPr>
  </w:style>
  <w:style w:type="character" w:styleId="Referencakrajnjebiljeke">
    <w:name w:val="endnote reference"/>
    <w:basedOn w:val="Zadanifontodlomka"/>
    <w:uiPriority w:val="99"/>
    <w:semiHidden/>
    <w:unhideWhenUsed/>
    <w:rsid w:val="004B3E7E"/>
    <w:rPr>
      <w:rFonts w:cs="Times New Roman"/>
      <w:vertAlign w:val="superscript"/>
    </w:rPr>
  </w:style>
  <w:style w:type="paragraph" w:customStyle="1" w:styleId="IASBNormalL3">
    <w:name w:val="IASB Normal L3"/>
    <w:basedOn w:val="IASBNormalL2"/>
    <w:qFormat/>
    <w:rsid w:val="0078108C"/>
    <w:pPr>
      <w:ind w:left="2268" w:hanging="708"/>
    </w:pPr>
  </w:style>
  <w:style w:type="paragraph" w:customStyle="1" w:styleId="IASBNormalArialL3">
    <w:name w:val="IASB Normal Arial L3"/>
    <w:basedOn w:val="IASBNormalL2"/>
    <w:qFormat/>
    <w:rsid w:val="0078108C"/>
    <w:pPr>
      <w:ind w:left="2268" w:hanging="708"/>
    </w:pPr>
    <w:rPr>
      <w:rFonts w:ascii="Arial" w:hAnsi="Arial"/>
    </w:rPr>
  </w:style>
  <w:style w:type="paragraph" w:customStyle="1" w:styleId="IASBNormalL3P">
    <w:name w:val="IASB Normal L3P"/>
    <w:basedOn w:val="IASBNormalL2P"/>
    <w:qFormat/>
    <w:rsid w:val="0078108C"/>
    <w:pPr>
      <w:ind w:left="2268"/>
    </w:pPr>
  </w:style>
  <w:style w:type="paragraph" w:customStyle="1" w:styleId="IASBNormalL4">
    <w:name w:val="IASB Normal L4"/>
    <w:basedOn w:val="IASBNormalL3"/>
    <w:qFormat/>
    <w:rsid w:val="0078108C"/>
    <w:pPr>
      <w:ind w:left="2977"/>
    </w:pPr>
  </w:style>
  <w:style w:type="paragraph" w:customStyle="1" w:styleId="IASBNormalArialL4">
    <w:name w:val="IASB Normal Arial L4"/>
    <w:basedOn w:val="IASBNormalL3"/>
    <w:qFormat/>
    <w:rsid w:val="0078108C"/>
    <w:pPr>
      <w:ind w:left="2977"/>
    </w:pPr>
    <w:rPr>
      <w:rFonts w:ascii="Arial" w:hAnsi="Arial"/>
    </w:rPr>
  </w:style>
  <w:style w:type="paragraph" w:customStyle="1" w:styleId="IASBNormalL4P">
    <w:name w:val="IASB Normal L4P"/>
    <w:basedOn w:val="IASBNormalL3P"/>
    <w:qFormat/>
    <w:rsid w:val="0078108C"/>
    <w:pPr>
      <w:ind w:left="2977"/>
    </w:pPr>
  </w:style>
  <w:style w:type="paragraph" w:customStyle="1" w:styleId="SectionEnd">
    <w:name w:val="Section End"/>
    <w:basedOn w:val="IASBNormal"/>
    <w:qFormat/>
    <w:rsid w:val="009042DE"/>
    <w:pPr>
      <w:spacing w:before="0" w:after="0" w:line="40" w:lineRule="exact"/>
      <w:jc w:val="left"/>
    </w:pPr>
    <w:rPr>
      <w:sz w:val="8"/>
    </w:rPr>
  </w:style>
  <w:style w:type="character" w:styleId="Referencakomentara">
    <w:name w:val="annotation reference"/>
    <w:basedOn w:val="Zadanifontodlomka"/>
    <w:uiPriority w:val="99"/>
    <w:semiHidden/>
    <w:unhideWhenUsed/>
    <w:rsid w:val="003F7D17"/>
    <w:rPr>
      <w:sz w:val="16"/>
      <w:szCs w:val="16"/>
    </w:rPr>
  </w:style>
  <w:style w:type="paragraph" w:styleId="Tekstkomentara">
    <w:name w:val="annotation text"/>
    <w:basedOn w:val="Normal"/>
    <w:link w:val="TekstkomentaraChar"/>
    <w:uiPriority w:val="99"/>
    <w:semiHidden/>
    <w:unhideWhenUsed/>
    <w:rsid w:val="003F7D17"/>
    <w:rPr>
      <w:sz w:val="20"/>
      <w:szCs w:val="20"/>
    </w:rPr>
  </w:style>
  <w:style w:type="character" w:customStyle="1" w:styleId="TekstkomentaraChar">
    <w:name w:val="Tekst komentara Char"/>
    <w:basedOn w:val="Zadanifontodlomka"/>
    <w:link w:val="Tekstkomentara"/>
    <w:uiPriority w:val="99"/>
    <w:semiHidden/>
    <w:rsid w:val="003F7D17"/>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3F7D17"/>
    <w:rPr>
      <w:b/>
      <w:bCs/>
    </w:rPr>
  </w:style>
  <w:style w:type="character" w:customStyle="1" w:styleId="PredmetkomentaraChar">
    <w:name w:val="Predmet komentara Char"/>
    <w:basedOn w:val="TekstkomentaraChar"/>
    <w:link w:val="Predmetkomentara"/>
    <w:uiPriority w:val="99"/>
    <w:semiHidden/>
    <w:rsid w:val="003F7D17"/>
    <w:rPr>
      <w:b/>
      <w:bCs/>
      <w:sz w:val="20"/>
      <w:szCs w:val="20"/>
      <w:lang w:eastAsia="en-US"/>
    </w:rPr>
  </w:style>
  <w:style w:type="paragraph" w:styleId="Revizija">
    <w:name w:val="Revision"/>
    <w:hidden/>
    <w:uiPriority w:val="99"/>
    <w:semiHidden/>
    <w:rsid w:val="003F7D17"/>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header" Target="header24.xm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6.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footer" Target="footer23.xml"/><Relationship Id="rId8" Type="http://schemas.openxmlformats.org/officeDocument/2006/relationships/footnotes" Target="footnotes.xml"/><Relationship Id="rId51"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284443D39C047BFB7B26CC769F073" ma:contentTypeVersion="19" ma:contentTypeDescription="Create a new document." ma:contentTypeScope="" ma:versionID="c67f1cd603e6bb5ff3c0d425deee8fbb">
  <xsd:schema xmlns:xsd="http://www.w3.org/2001/XMLSchema" xmlns:xs="http://www.w3.org/2001/XMLSchema" xmlns:p="http://schemas.microsoft.com/office/2006/metadata/properties" xmlns:ns2="ec49eb38-6cb5-483f-a298-4a90bdd00051" xmlns:ns3="dd1af2b0-f65d-434c-8a17-aadcdb553b78" targetNamespace="http://schemas.microsoft.com/office/2006/metadata/properties" ma:root="true" ma:fieldsID="45550e609c45576cf7171bf1fbe77a05" ns2:_="" ns3:_="">
    <xsd:import namespace="ec49eb38-6cb5-483f-a298-4a90bdd00051"/>
    <xsd:import namespace="dd1af2b0-f65d-434c-8a17-aadcdb553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eb38-6cb5-483f-a298-4a90bdd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2f0513-a2ef-49c9-8f64-129a7e7844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af2b0-f65d-434c-8a17-aadcdb553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56988c-21c8-4111-8ccb-b7eec4617890}" ma:internalName="TaxCatchAll" ma:showField="CatchAllData" ma:web="dd1af2b0-f65d-434c-8a17-aadcdb553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9eb38-6cb5-483f-a298-4a90bdd00051">
      <Terms xmlns="http://schemas.microsoft.com/office/infopath/2007/PartnerControls"/>
    </lcf76f155ced4ddcb4097134ff3c332f>
    <TaxCatchAll xmlns="dd1af2b0-f65d-434c-8a17-aadcdb553b78" xsi:nil="true"/>
  </documentManagement>
</p:properties>
</file>

<file path=customXml/itemProps1.xml><?xml version="1.0" encoding="utf-8"?>
<ds:datastoreItem xmlns:ds="http://schemas.openxmlformats.org/officeDocument/2006/customXml" ds:itemID="{15581AA8-DBF7-40D0-92B5-206E7EC82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eb38-6cb5-483f-a298-4a90bdd00051"/>
    <ds:schemaRef ds:uri="dd1af2b0-f65d-434c-8a17-aadcdb553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BB31F-5A79-4E75-BDA8-A27E04DB2E4F}">
  <ds:schemaRefs>
    <ds:schemaRef ds:uri="http://schemas.microsoft.com/sharepoint/v3/contenttype/forms"/>
  </ds:schemaRefs>
</ds:datastoreItem>
</file>

<file path=customXml/itemProps3.xml><?xml version="1.0" encoding="utf-8"?>
<ds:datastoreItem xmlns:ds="http://schemas.openxmlformats.org/officeDocument/2006/customXml" ds:itemID="{FE3D2EAD-8F16-41BA-ACF8-347C9150C14A}">
  <ds:schemaRefs>
    <ds:schemaRef ds:uri="http://schemas.microsoft.com/office/2006/metadata/properties"/>
    <ds:schemaRef ds:uri="http://schemas.microsoft.com/office/infopath/2007/PartnerControls"/>
    <ds:schemaRef ds:uri="ec49eb38-6cb5-483f-a298-4a90bdd00051"/>
    <ds:schemaRef ds:uri="dd1af2b0-f65d-434c-8a17-aadcdb553b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13727</Words>
  <Characters>78250</Characters>
  <Application>Microsoft Office Word</Application>
  <DocSecurity>0</DocSecurity>
  <Lines>652</Lines>
  <Paragraphs>183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Korisnik</cp:lastModifiedBy>
  <cp:revision>2</cp:revision>
  <dcterms:created xsi:type="dcterms:W3CDTF">2026-01-30T13:24:00Z</dcterms:created>
  <dcterms:modified xsi:type="dcterms:W3CDTF">2026-01-30T13:24:00Z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0x01010083E284443D39C047BFB7B26CC769F073</vt:lpwstr>
  </property>
  <property fmtid="{D5CDD505-2E9C-101B-9397-08002B2CF9AE}" pid="3" name="MediaServiceImageTags">
    <vt:lpwstr/>
  </property>
</Properties>
</file>