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D44A" w14:textId="52D8A7A7" w:rsidR="00F5158D" w:rsidRPr="00EB290C" w:rsidRDefault="003373AF">
      <w:pPr>
        <w:rPr>
          <w:lang w:val="hr-HR"/>
        </w:rPr>
        <w:sectPr w:rsidR="00F5158D" w:rsidRPr="00EB290C">
          <w:headerReference w:type="even" r:id="rId10"/>
          <w:headerReference w:type="default" r:id="rId11"/>
          <w:footerReference w:type="even" r:id="rId12"/>
          <w:footerReference w:type="default" r:id="rId13"/>
          <w:pgSz w:w="11895" w:h="16834"/>
          <w:pgMar w:top="1440" w:right="1440" w:bottom="1440" w:left="1440" w:header="720" w:footer="720" w:gutter="0"/>
          <w:cols w:space="720"/>
        </w:sectPr>
      </w:pPr>
      <w:r w:rsidRPr="00EB290C">
        <w:rPr>
          <w:b/>
          <w:lang w:val="hr-HR"/>
        </w:rPr>
        <w:t>Izmjene i dopune dokumenta Klasifikacija i mjerenje finansijskih instrumenata</w:t>
      </w:r>
      <w:r w:rsidRPr="00EB290C">
        <w:rPr>
          <w:lang w:val="hr-HR"/>
        </w:rPr>
        <w:t xml:space="preserve"> </w:t>
      </w:r>
      <w:r w:rsidR="00B34096" w:rsidRPr="00EB290C">
        <w:rPr>
          <w:lang w:val="hr-HR"/>
        </w:rPr>
        <w:br/>
      </w:r>
      <w:r w:rsidR="00B34096" w:rsidRPr="00EB290C">
        <w:rPr>
          <w:lang w:val="hr-HR"/>
        </w:rPr>
        <w:br/>
      </w:r>
      <w:r w:rsidRPr="00EB290C">
        <w:rPr>
          <w:lang w:val="hr-HR"/>
        </w:rPr>
        <w:t xml:space="preserve">Izmjene i dopune MSFI-ja </w:t>
      </w:r>
      <w:r w:rsidR="00B34096" w:rsidRPr="00EB290C">
        <w:rPr>
          <w:lang w:val="hr-HR"/>
        </w:rPr>
        <w:t xml:space="preserve">9 </w:t>
      </w:r>
      <w:r w:rsidRPr="00EB290C">
        <w:rPr>
          <w:lang w:val="hr-HR"/>
        </w:rPr>
        <w:t>i MSFI-ja</w:t>
      </w:r>
      <w:r w:rsidR="00B34096" w:rsidRPr="00EB290C">
        <w:rPr>
          <w:lang w:val="hr-HR"/>
        </w:rPr>
        <w:t xml:space="preserve"> 7</w:t>
      </w:r>
    </w:p>
    <w:p w14:paraId="487CDAB9" w14:textId="7580EF01" w:rsidR="00F5158D" w:rsidRPr="00EB290C" w:rsidRDefault="00D26F09">
      <w:pPr>
        <w:pStyle w:val="IASBSectionTitle2NonInd"/>
        <w:rPr>
          <w:lang w:val="hr-HR"/>
        </w:rPr>
      </w:pPr>
      <w:r>
        <w:rPr>
          <w:lang w:val="hr-HR"/>
        </w:rPr>
        <w:lastRenderedPageBreak/>
        <w:t xml:space="preserve">Izmjene i dopune MSFI-ja </w:t>
      </w:r>
      <w:r w:rsidR="00B34096" w:rsidRPr="00EB290C">
        <w:rPr>
          <w:lang w:val="hr-HR"/>
        </w:rPr>
        <w:t xml:space="preserve">9 </w:t>
      </w:r>
      <w:r w:rsidR="00B34096" w:rsidRPr="00EB290C">
        <w:rPr>
          <w:i/>
          <w:lang w:val="hr-HR"/>
        </w:rPr>
        <w:t>Finan</w:t>
      </w:r>
      <w:r>
        <w:rPr>
          <w:i/>
          <w:lang w:val="hr-HR"/>
        </w:rPr>
        <w:t xml:space="preserve">sijski instrumenti </w:t>
      </w:r>
    </w:p>
    <w:p w14:paraId="78DFBBC0" w14:textId="77777777" w:rsidR="00F5158D" w:rsidRPr="00EB290C" w:rsidRDefault="00F5158D">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F5158D" w:rsidRPr="00EB290C" w14:paraId="47D8D501" w14:textId="77777777">
        <w:tc>
          <w:tcPr>
            <w:tcW w:w="50" w:type="pct"/>
            <w:tcBorders>
              <w:bottom w:val="single" w:sz="0" w:space="0" w:color="auto"/>
              <w:right w:val="single" w:sz="0" w:space="0" w:color="auto"/>
            </w:tcBorders>
          </w:tcPr>
          <w:p w14:paraId="3A32BF11" w14:textId="1F24C51C" w:rsidR="00F5158D" w:rsidRPr="00EB290C" w:rsidRDefault="00D26F09">
            <w:pPr>
              <w:pStyle w:val="IASBTableArial"/>
              <w:rPr>
                <w:lang w:val="hr-HR"/>
              </w:rPr>
            </w:pPr>
            <w:r>
              <w:rPr>
                <w:lang w:val="hr-HR"/>
              </w:rPr>
              <w:t xml:space="preserve">Uvedene su tačke </w:t>
            </w:r>
            <w:r w:rsidR="00B34096" w:rsidRPr="00EB290C">
              <w:rPr>
                <w:lang w:val="hr-HR"/>
              </w:rPr>
              <w:t>7.1.12</w:t>
            </w:r>
            <w:r>
              <w:rPr>
                <w:lang w:val="hr-HR"/>
              </w:rPr>
              <w:t xml:space="preserve">, </w:t>
            </w:r>
            <w:r w:rsidR="00B34096" w:rsidRPr="00EB290C">
              <w:rPr>
                <w:lang w:val="hr-HR"/>
              </w:rPr>
              <w:t>7.1.13</w:t>
            </w:r>
            <w:r>
              <w:rPr>
                <w:lang w:val="hr-HR"/>
              </w:rPr>
              <w:t xml:space="preserve">, </w:t>
            </w:r>
            <w:r w:rsidR="00B34096" w:rsidRPr="00EB290C">
              <w:rPr>
                <w:lang w:val="hr-HR"/>
              </w:rPr>
              <w:t>7.2.47</w:t>
            </w:r>
            <w:r>
              <w:rPr>
                <w:lang w:val="hr-HR"/>
              </w:rPr>
              <w:t>, 7.2.48</w:t>
            </w:r>
            <w:r w:rsidR="00571E22">
              <w:rPr>
                <w:lang w:val="hr-HR"/>
              </w:rPr>
              <w:t>.</w:t>
            </w:r>
            <w:r>
              <w:rPr>
                <w:lang w:val="hr-HR"/>
              </w:rPr>
              <w:t xml:space="preserve"> i </w:t>
            </w:r>
            <w:r w:rsidR="00B34096" w:rsidRPr="00EB290C">
              <w:rPr>
                <w:lang w:val="hr-HR"/>
              </w:rPr>
              <w:t>7.2.49</w:t>
            </w:r>
            <w:r w:rsidR="00571E22">
              <w:rPr>
                <w:lang w:val="hr-HR"/>
              </w:rPr>
              <w:t>.</w:t>
            </w:r>
            <w:r w:rsidR="00B34096" w:rsidRPr="00EB290C">
              <w:rPr>
                <w:lang w:val="hr-HR"/>
              </w:rPr>
              <w:t xml:space="preserve"> </w:t>
            </w:r>
            <w:r>
              <w:rPr>
                <w:lang w:val="hr-HR"/>
              </w:rPr>
              <w:t xml:space="preserve">te naslov ispred tačke </w:t>
            </w:r>
            <w:r w:rsidR="00B34096" w:rsidRPr="00EB290C">
              <w:rPr>
                <w:lang w:val="hr-HR"/>
              </w:rPr>
              <w:t>7.2.47</w:t>
            </w:r>
            <w:r>
              <w:rPr>
                <w:lang w:val="hr-HR"/>
              </w:rPr>
              <w:t xml:space="preserve">. Zbog </w:t>
            </w:r>
            <w:r w:rsidR="00CD478A">
              <w:rPr>
                <w:lang w:val="hr-HR"/>
              </w:rPr>
              <w:t>bolje</w:t>
            </w:r>
            <w:r>
              <w:rPr>
                <w:lang w:val="hr-HR"/>
              </w:rPr>
              <w:t xml:space="preserve"> preglednosti, te tačke nisu podvučene ovdje. </w:t>
            </w:r>
          </w:p>
        </w:tc>
      </w:tr>
    </w:tbl>
    <w:p w14:paraId="64705B6E" w14:textId="77777777" w:rsidR="00F5158D" w:rsidRPr="00EB290C" w:rsidRDefault="00F5158D">
      <w:pPr>
        <w:pStyle w:val="IASBNormalnpara"/>
        <w:rPr>
          <w:lang w:val="hr-HR"/>
        </w:rPr>
      </w:pPr>
    </w:p>
    <w:p w14:paraId="45708385" w14:textId="1B7A43F2" w:rsidR="00F5158D" w:rsidRPr="00EB290C" w:rsidRDefault="00B34096">
      <w:pPr>
        <w:pStyle w:val="IASBSectionTitle1NonInd"/>
        <w:rPr>
          <w:lang w:val="hr-HR"/>
        </w:rPr>
      </w:pPr>
      <w:r w:rsidRPr="00EB290C">
        <w:rPr>
          <w:lang w:val="hr-HR"/>
        </w:rPr>
        <w:t xml:space="preserve">7.1 </w:t>
      </w:r>
      <w:r w:rsidR="00D26F09">
        <w:rPr>
          <w:lang w:val="hr-HR"/>
        </w:rPr>
        <w:t xml:space="preserve">Datum stupanja na snagu </w:t>
      </w:r>
    </w:p>
    <w:p w14:paraId="08726920" w14:textId="77777777" w:rsidR="00F5158D" w:rsidRPr="00EB290C" w:rsidRDefault="00B34096">
      <w:pPr>
        <w:pStyle w:val="IASBNormalnpara"/>
        <w:rPr>
          <w:lang w:val="hr-HR"/>
        </w:rPr>
      </w:pPr>
      <w:r w:rsidRPr="00EB290C">
        <w:rPr>
          <w:lang w:val="hr-HR"/>
        </w:rPr>
        <w:tab/>
        <w:t>...</w:t>
      </w:r>
    </w:p>
    <w:p w14:paraId="2837A201" w14:textId="60AA8914" w:rsidR="00F5158D" w:rsidRPr="00EB290C" w:rsidRDefault="00B34096">
      <w:pPr>
        <w:pStyle w:val="IASBNormalnpara"/>
        <w:rPr>
          <w:lang w:val="hr-HR"/>
        </w:rPr>
      </w:pPr>
      <w:r w:rsidRPr="00EB290C">
        <w:rPr>
          <w:lang w:val="hr-HR"/>
        </w:rPr>
        <w:t>7.1.12</w:t>
      </w:r>
      <w:r w:rsidRPr="00EB290C">
        <w:rPr>
          <w:lang w:val="hr-HR"/>
        </w:rPr>
        <w:tab/>
      </w:r>
      <w:r w:rsidR="00D26F09">
        <w:rPr>
          <w:lang w:val="hr-HR"/>
        </w:rPr>
        <w:t xml:space="preserve">Dokumentom </w:t>
      </w:r>
      <w:r w:rsidR="00D26F09">
        <w:rPr>
          <w:i/>
          <w:lang w:val="hr-HR"/>
        </w:rPr>
        <w:t>Izmjene i dopune klasifikacije i mjerenja finansijskih instrumenata</w:t>
      </w:r>
      <w:r w:rsidRPr="00EB290C">
        <w:rPr>
          <w:lang w:val="hr-HR"/>
        </w:rPr>
        <w:t xml:space="preserve">, </w:t>
      </w:r>
      <w:r w:rsidR="00D26F09">
        <w:rPr>
          <w:lang w:val="hr-HR"/>
        </w:rPr>
        <w:t xml:space="preserve">kojim su izmijenjeni MSFI 9 i MSFI 7, </w:t>
      </w:r>
      <w:r w:rsidR="00CD478A">
        <w:rPr>
          <w:lang w:val="hr-HR"/>
        </w:rPr>
        <w:t xml:space="preserve">objavljenim </w:t>
      </w:r>
      <w:r w:rsidR="00D26F09">
        <w:rPr>
          <w:lang w:val="hr-HR"/>
        </w:rPr>
        <w:t xml:space="preserve">u maju 2024. godine, </w:t>
      </w:r>
      <w:r w:rsidR="00B5397A">
        <w:rPr>
          <w:lang w:val="hr-HR"/>
        </w:rPr>
        <w:t>dodate</w:t>
      </w:r>
      <w:r w:rsidR="00D26F09">
        <w:rPr>
          <w:lang w:val="hr-HR"/>
        </w:rPr>
        <w:t xml:space="preserve"> su tačke </w:t>
      </w:r>
      <w:r w:rsidRPr="00EB290C">
        <w:rPr>
          <w:lang w:val="hr-HR"/>
        </w:rPr>
        <w:t>7.2.47</w:t>
      </w:r>
      <w:r w:rsidR="00D26F09">
        <w:rPr>
          <w:lang w:val="hr-HR"/>
        </w:rPr>
        <w:t>, 7.</w:t>
      </w:r>
      <w:r w:rsidR="00571E22">
        <w:rPr>
          <w:lang w:val="hr-HR"/>
        </w:rPr>
        <w:t>2</w:t>
      </w:r>
      <w:r w:rsidR="00D26F09">
        <w:rPr>
          <w:lang w:val="hr-HR"/>
        </w:rPr>
        <w:t xml:space="preserve">.48, </w:t>
      </w:r>
      <w:r w:rsidRPr="00EB290C">
        <w:rPr>
          <w:lang w:val="hr-HR"/>
        </w:rPr>
        <w:t>7.2.49, B3.1.2A, B3.3.8</w:t>
      </w:r>
      <w:r w:rsidR="00D26F09">
        <w:rPr>
          <w:lang w:val="hr-HR"/>
        </w:rPr>
        <w:t xml:space="preserve">, B3.3.9, </w:t>
      </w:r>
      <w:r w:rsidRPr="00EB290C">
        <w:rPr>
          <w:lang w:val="hr-HR"/>
        </w:rPr>
        <w:t xml:space="preserve">B3.3.10, B4.1.8A, B4.1.10A, B4.1.16A </w:t>
      </w:r>
      <w:r w:rsidR="00D26F09">
        <w:rPr>
          <w:lang w:val="hr-HR"/>
        </w:rPr>
        <w:t xml:space="preserve">i </w:t>
      </w:r>
      <w:r w:rsidRPr="00EB290C">
        <w:rPr>
          <w:lang w:val="hr-HR"/>
        </w:rPr>
        <w:t xml:space="preserve">B4.1.20A. </w:t>
      </w:r>
      <w:r w:rsidR="00D26F09">
        <w:rPr>
          <w:lang w:val="hr-HR"/>
        </w:rPr>
        <w:t xml:space="preserve">Pored toga, </w:t>
      </w:r>
      <w:r w:rsidR="00B5397A">
        <w:rPr>
          <w:lang w:val="hr-HR"/>
        </w:rPr>
        <w:t>njime su</w:t>
      </w:r>
      <w:r w:rsidR="00D26F09">
        <w:rPr>
          <w:lang w:val="hr-HR"/>
        </w:rPr>
        <w:t xml:space="preserve"> izmijen</w:t>
      </w:r>
      <w:r w:rsidR="00B5397A">
        <w:rPr>
          <w:lang w:val="hr-HR"/>
        </w:rPr>
        <w:t>jene</w:t>
      </w:r>
      <w:r w:rsidR="00D26F09">
        <w:rPr>
          <w:lang w:val="hr-HR"/>
        </w:rPr>
        <w:t xml:space="preserve"> i tačke </w:t>
      </w:r>
      <w:r w:rsidRPr="00EB290C">
        <w:rPr>
          <w:lang w:val="hr-HR"/>
        </w:rPr>
        <w:t xml:space="preserve">B4.1.10,  B4.1.13,  B4.1.14,  B4.1.16,  B4.1.17,  B4.1.20,  B4.1.21 </w:t>
      </w:r>
      <w:r w:rsidR="00D26F09">
        <w:rPr>
          <w:lang w:val="hr-HR"/>
        </w:rPr>
        <w:t>i</w:t>
      </w:r>
      <w:r w:rsidRPr="00EB290C">
        <w:rPr>
          <w:lang w:val="hr-HR"/>
        </w:rPr>
        <w:t xml:space="preserve"> B4.1.23. </w:t>
      </w:r>
      <w:r w:rsidR="00D26F09">
        <w:rPr>
          <w:lang w:val="hr-HR"/>
        </w:rPr>
        <w:t xml:space="preserve">Subjekt je </w:t>
      </w:r>
      <w:r w:rsidR="00B5397A">
        <w:rPr>
          <w:lang w:val="hr-HR"/>
        </w:rPr>
        <w:t xml:space="preserve">dužan </w:t>
      </w:r>
      <w:r w:rsidR="00D26F09">
        <w:rPr>
          <w:lang w:val="hr-HR"/>
        </w:rPr>
        <w:t>te izmjene i dopune prim</w:t>
      </w:r>
      <w:r w:rsidR="00B5397A">
        <w:rPr>
          <w:lang w:val="hr-HR"/>
        </w:rPr>
        <w:t xml:space="preserve">ijeniti </w:t>
      </w:r>
      <w:r w:rsidR="00D26F09">
        <w:rPr>
          <w:lang w:val="hr-HR"/>
        </w:rPr>
        <w:t xml:space="preserve">na godišnje izvještajne periode koji počinju na dan 1. januara 2026. godine ili kasnije. </w:t>
      </w:r>
      <w:r w:rsidR="00B5397A">
        <w:rPr>
          <w:lang w:val="hr-HR"/>
        </w:rPr>
        <w:t xml:space="preserve">Ranija primjena je dozvoljena. </w:t>
      </w:r>
    </w:p>
    <w:p w14:paraId="794ECEBC" w14:textId="06F11BEC" w:rsidR="00F5158D" w:rsidRPr="00EB290C" w:rsidRDefault="00B34096">
      <w:pPr>
        <w:pStyle w:val="IASBNormalnpara"/>
        <w:rPr>
          <w:lang w:val="hr-HR"/>
        </w:rPr>
      </w:pPr>
      <w:r w:rsidRPr="00EB290C">
        <w:rPr>
          <w:lang w:val="hr-HR"/>
        </w:rPr>
        <w:t>7.1.13</w:t>
      </w:r>
      <w:r w:rsidRPr="00EB290C">
        <w:rPr>
          <w:lang w:val="hr-HR"/>
        </w:rPr>
        <w:tab/>
      </w:r>
      <w:r w:rsidR="00B5397A">
        <w:rPr>
          <w:lang w:val="hr-HR"/>
        </w:rPr>
        <w:t>Ako subjekt odabere primjenjivati</w:t>
      </w:r>
      <w:r w:rsidR="00D26F09">
        <w:rPr>
          <w:lang w:val="hr-HR"/>
        </w:rPr>
        <w:t xml:space="preserve"> izmjene i dopune </w:t>
      </w:r>
      <w:r w:rsidR="00571E22">
        <w:rPr>
          <w:lang w:val="hr-HR"/>
        </w:rPr>
        <w:t xml:space="preserve">na </w:t>
      </w:r>
      <w:r w:rsidR="00B5397A">
        <w:rPr>
          <w:lang w:val="hr-HR"/>
        </w:rPr>
        <w:t>ranij</w:t>
      </w:r>
      <w:r w:rsidR="00571E22">
        <w:rPr>
          <w:lang w:val="hr-HR"/>
        </w:rPr>
        <w:t>i period</w:t>
      </w:r>
      <w:r w:rsidR="00D26F09">
        <w:rPr>
          <w:lang w:val="hr-HR"/>
        </w:rPr>
        <w:t>, treba bilo</w:t>
      </w:r>
      <w:r w:rsidRPr="00EB290C">
        <w:rPr>
          <w:lang w:val="hr-HR"/>
        </w:rPr>
        <w:t>:</w:t>
      </w:r>
    </w:p>
    <w:p w14:paraId="5F5E0259" w14:textId="69576663" w:rsidR="00F5158D" w:rsidRPr="00EB290C" w:rsidRDefault="00B34096">
      <w:pPr>
        <w:pStyle w:val="IASBNormalnparaL1"/>
        <w:rPr>
          <w:lang w:val="hr-HR"/>
        </w:rPr>
      </w:pPr>
      <w:r w:rsidRPr="00EB290C">
        <w:rPr>
          <w:lang w:val="hr-HR"/>
        </w:rPr>
        <w:t>(a)</w:t>
      </w:r>
      <w:r w:rsidRPr="00EB290C">
        <w:rPr>
          <w:lang w:val="hr-HR"/>
        </w:rPr>
        <w:tab/>
      </w:r>
      <w:r w:rsidR="00D26F09">
        <w:rPr>
          <w:lang w:val="hr-HR"/>
        </w:rPr>
        <w:t xml:space="preserve">primijeniti sve izmjene i dopune u isto vrijeme i objaviti tu činjenicu; ili </w:t>
      </w:r>
    </w:p>
    <w:p w14:paraId="348CFA82" w14:textId="0E996A61" w:rsidR="00F5158D" w:rsidRPr="00EB290C" w:rsidRDefault="00B34096">
      <w:pPr>
        <w:pStyle w:val="IASBNormalnparaL1"/>
        <w:rPr>
          <w:lang w:val="hr-HR"/>
        </w:rPr>
      </w:pPr>
      <w:r w:rsidRPr="00EB290C">
        <w:rPr>
          <w:lang w:val="hr-HR"/>
        </w:rPr>
        <w:t>(b)</w:t>
      </w:r>
      <w:r w:rsidRPr="00EB290C">
        <w:rPr>
          <w:lang w:val="hr-HR"/>
        </w:rPr>
        <w:tab/>
      </w:r>
      <w:r w:rsidR="00D26F09">
        <w:rPr>
          <w:lang w:val="hr-HR"/>
        </w:rPr>
        <w:t xml:space="preserve">primijeniti samo izmjene i dopune </w:t>
      </w:r>
      <w:r w:rsidR="00B5397A">
        <w:rPr>
          <w:lang w:val="hr-HR"/>
        </w:rPr>
        <w:t>Smjernica</w:t>
      </w:r>
      <w:r w:rsidR="00D26F09">
        <w:rPr>
          <w:lang w:val="hr-HR"/>
        </w:rPr>
        <w:t xml:space="preserve"> </w:t>
      </w:r>
      <w:r w:rsidR="00B5397A">
        <w:rPr>
          <w:lang w:val="hr-HR"/>
        </w:rPr>
        <w:t>za</w:t>
      </w:r>
      <w:r w:rsidR="00D26F09">
        <w:rPr>
          <w:lang w:val="hr-HR"/>
        </w:rPr>
        <w:t xml:space="preserve"> primjen</w:t>
      </w:r>
      <w:r w:rsidR="00B5397A">
        <w:rPr>
          <w:lang w:val="hr-HR"/>
        </w:rPr>
        <w:t>u</w:t>
      </w:r>
      <w:r w:rsidR="00D26F09">
        <w:rPr>
          <w:lang w:val="hr-HR"/>
        </w:rPr>
        <w:t xml:space="preserve"> na </w:t>
      </w:r>
      <w:r w:rsidR="00B5397A">
        <w:rPr>
          <w:lang w:val="hr-HR"/>
        </w:rPr>
        <w:t>Odjeljak</w:t>
      </w:r>
      <w:r w:rsidR="00D26F09">
        <w:rPr>
          <w:lang w:val="hr-HR"/>
        </w:rPr>
        <w:t xml:space="preserve"> </w:t>
      </w:r>
      <w:r w:rsidRPr="00EB290C">
        <w:rPr>
          <w:lang w:val="hr-HR"/>
        </w:rPr>
        <w:t xml:space="preserve">4.1 </w:t>
      </w:r>
      <w:r w:rsidR="00D26F09">
        <w:rPr>
          <w:lang w:val="hr-HR"/>
        </w:rPr>
        <w:t>ovog standarda</w:t>
      </w:r>
      <w:r w:rsidRPr="00EB290C">
        <w:rPr>
          <w:lang w:val="hr-HR"/>
        </w:rPr>
        <w:t xml:space="preserve"> (</w:t>
      </w:r>
      <w:r w:rsidR="00D26F09">
        <w:rPr>
          <w:lang w:val="hr-HR"/>
        </w:rPr>
        <w:t>Klasifikacija finansijske imovine</w:t>
      </w:r>
      <w:r w:rsidRPr="00EB290C">
        <w:rPr>
          <w:lang w:val="hr-HR"/>
        </w:rPr>
        <w:t xml:space="preserve">) </w:t>
      </w:r>
      <w:r w:rsidR="00D26F09">
        <w:rPr>
          <w:lang w:val="hr-HR"/>
        </w:rPr>
        <w:t>na raniji period i objaviti tu činjenicu.</w:t>
      </w:r>
    </w:p>
    <w:p w14:paraId="1F730F77" w14:textId="6D25B760" w:rsidR="00F5158D" w:rsidRPr="00EB290C" w:rsidRDefault="00B34096">
      <w:pPr>
        <w:pStyle w:val="IASBSectionTitle1NonInd"/>
        <w:rPr>
          <w:lang w:val="hr-HR"/>
        </w:rPr>
      </w:pPr>
      <w:r w:rsidRPr="00EB290C">
        <w:rPr>
          <w:lang w:val="hr-HR"/>
        </w:rPr>
        <w:t xml:space="preserve">7.2 </w:t>
      </w:r>
      <w:r w:rsidR="00D26F09">
        <w:rPr>
          <w:lang w:val="hr-HR"/>
        </w:rPr>
        <w:t xml:space="preserve">Prijelazne odredbe </w:t>
      </w:r>
    </w:p>
    <w:p w14:paraId="1C251196" w14:textId="77777777" w:rsidR="00F5158D" w:rsidRPr="00EB290C" w:rsidRDefault="00B34096">
      <w:pPr>
        <w:pStyle w:val="IASBNormalnpara"/>
        <w:rPr>
          <w:lang w:val="hr-HR"/>
        </w:rPr>
      </w:pPr>
      <w:r w:rsidRPr="00EB290C">
        <w:rPr>
          <w:lang w:val="hr-HR"/>
        </w:rPr>
        <w:tab/>
        <w:t>...</w:t>
      </w:r>
    </w:p>
    <w:p w14:paraId="55207AA9" w14:textId="78A0D8ED" w:rsidR="00F5158D" w:rsidRPr="00EB290C" w:rsidRDefault="00D26F09">
      <w:pPr>
        <w:pStyle w:val="IASBSectionTitle2Ind"/>
        <w:rPr>
          <w:lang w:val="hr-HR"/>
        </w:rPr>
      </w:pPr>
      <w:r>
        <w:rPr>
          <w:lang w:val="hr-HR"/>
        </w:rPr>
        <w:t>Pr</w:t>
      </w:r>
      <w:r w:rsidR="003C12BF">
        <w:rPr>
          <w:lang w:val="hr-HR"/>
        </w:rPr>
        <w:t>ijelazne odredbe za</w:t>
      </w:r>
      <w:r>
        <w:rPr>
          <w:lang w:val="hr-HR"/>
        </w:rPr>
        <w:t xml:space="preserve"> </w:t>
      </w:r>
      <w:r>
        <w:rPr>
          <w:i/>
          <w:lang w:val="hr-HR"/>
        </w:rPr>
        <w:t>Izmjene i dopune klasifikacije i mjerenja f</w:t>
      </w:r>
      <w:r w:rsidR="00B34096" w:rsidRPr="00EB290C">
        <w:rPr>
          <w:i/>
          <w:lang w:val="hr-HR"/>
        </w:rPr>
        <w:t>inan</w:t>
      </w:r>
      <w:r>
        <w:rPr>
          <w:i/>
          <w:lang w:val="hr-HR"/>
        </w:rPr>
        <w:t>s</w:t>
      </w:r>
      <w:r w:rsidR="00B34096" w:rsidRPr="00EB290C">
        <w:rPr>
          <w:i/>
          <w:lang w:val="hr-HR"/>
        </w:rPr>
        <w:t>i</w:t>
      </w:r>
      <w:r>
        <w:rPr>
          <w:i/>
          <w:lang w:val="hr-HR"/>
        </w:rPr>
        <w:t>jskih</w:t>
      </w:r>
      <w:r w:rsidR="00B34096" w:rsidRPr="00EB290C">
        <w:rPr>
          <w:i/>
          <w:lang w:val="hr-HR"/>
        </w:rPr>
        <w:t xml:space="preserve"> </w:t>
      </w:r>
      <w:r>
        <w:rPr>
          <w:i/>
          <w:lang w:val="hr-HR"/>
        </w:rPr>
        <w:t>i</w:t>
      </w:r>
      <w:r w:rsidR="00B34096" w:rsidRPr="00EB290C">
        <w:rPr>
          <w:i/>
          <w:lang w:val="hr-HR"/>
        </w:rPr>
        <w:t>nstrumen</w:t>
      </w:r>
      <w:r>
        <w:rPr>
          <w:i/>
          <w:lang w:val="hr-HR"/>
        </w:rPr>
        <w:t>ata</w:t>
      </w:r>
    </w:p>
    <w:p w14:paraId="5A0E970F" w14:textId="3C4F0C8F" w:rsidR="00F5158D" w:rsidRPr="00EB290C" w:rsidRDefault="00B34096">
      <w:pPr>
        <w:pStyle w:val="IASBNormalnpara"/>
        <w:rPr>
          <w:lang w:val="hr-HR"/>
        </w:rPr>
      </w:pPr>
      <w:r w:rsidRPr="00EB290C">
        <w:rPr>
          <w:lang w:val="hr-HR"/>
        </w:rPr>
        <w:t>7.2.47</w:t>
      </w:r>
      <w:r w:rsidRPr="00EB290C">
        <w:rPr>
          <w:lang w:val="hr-HR"/>
        </w:rPr>
        <w:tab/>
      </w:r>
      <w:r w:rsidR="00D26F09">
        <w:rPr>
          <w:lang w:val="hr-HR"/>
        </w:rPr>
        <w:t xml:space="preserve">Subjekat je dužan primijeniti </w:t>
      </w:r>
      <w:r w:rsidR="00D26F09">
        <w:rPr>
          <w:i/>
          <w:lang w:val="hr-HR"/>
        </w:rPr>
        <w:t>Izmjene i dopune klasifikacije i mjerenja finansijskih instrumenata</w:t>
      </w:r>
      <w:r w:rsidRPr="00EB290C">
        <w:rPr>
          <w:lang w:val="hr-HR"/>
        </w:rPr>
        <w:t xml:space="preserve"> r</w:t>
      </w:r>
      <w:r w:rsidR="00D26F09">
        <w:rPr>
          <w:lang w:val="hr-HR"/>
        </w:rPr>
        <w:t xml:space="preserve">etroaktivno, u skladu sa MRS-om 8, </w:t>
      </w:r>
      <w:r w:rsidR="00B5397A">
        <w:rPr>
          <w:lang w:val="hr-HR"/>
        </w:rPr>
        <w:t>osim kako je određeno u tačkama</w:t>
      </w:r>
      <w:r w:rsidR="00D26F09">
        <w:rPr>
          <w:lang w:val="hr-HR"/>
        </w:rPr>
        <w:t xml:space="preserve"> </w:t>
      </w:r>
      <w:r w:rsidRPr="00EB290C">
        <w:rPr>
          <w:lang w:val="hr-HR"/>
        </w:rPr>
        <w:t>7.2.48</w:t>
      </w:r>
      <w:r w:rsidR="00D26F09">
        <w:rPr>
          <w:lang w:val="hr-HR"/>
        </w:rPr>
        <w:t xml:space="preserve"> i </w:t>
      </w:r>
      <w:r w:rsidRPr="00EB290C">
        <w:rPr>
          <w:lang w:val="hr-HR"/>
        </w:rPr>
        <w:t xml:space="preserve">7.2.49. </w:t>
      </w:r>
      <w:r w:rsidR="00D26F09">
        <w:rPr>
          <w:lang w:val="hr-HR"/>
        </w:rPr>
        <w:t xml:space="preserve">Za potrebe zahtjeva iz ovih tačaka, datum prve primjene je datum početka godišnjeg izvještajnog perioda u kojem subjekt prvi put primijeni izmjene i dopune. </w:t>
      </w:r>
    </w:p>
    <w:p w14:paraId="7CC60957" w14:textId="5E9A4286" w:rsidR="00F5158D" w:rsidRPr="00EB290C" w:rsidRDefault="00B34096">
      <w:pPr>
        <w:pStyle w:val="IASBNormalnpara"/>
        <w:rPr>
          <w:lang w:val="hr-HR"/>
        </w:rPr>
      </w:pPr>
      <w:r w:rsidRPr="00EB290C">
        <w:rPr>
          <w:lang w:val="hr-HR"/>
        </w:rPr>
        <w:t>7.2.48</w:t>
      </w:r>
      <w:r w:rsidRPr="00EB290C">
        <w:rPr>
          <w:lang w:val="hr-HR"/>
        </w:rPr>
        <w:tab/>
      </w:r>
      <w:r w:rsidR="00D26F09">
        <w:rPr>
          <w:lang w:val="hr-HR"/>
        </w:rPr>
        <w:t xml:space="preserve">Subjekt nije dužan prepravljati ranije periode kako bi odrazio primjenu ovih izmjena i dopuna. On ranije periode smije prepraviti onda i samo onda kada je to moguće napraviti bez retroaktivnog sagledavanja. </w:t>
      </w:r>
      <w:r w:rsidR="00102846">
        <w:rPr>
          <w:lang w:val="hr-HR"/>
        </w:rPr>
        <w:t xml:space="preserve">Ako ne prepravi prethodne periode, subjekt treba priznati učinak izvorne primjene ovih izmjena i dopuna kao usklađivanje početnog stanja finansijske imovine i finansijskih obaveza </w:t>
      </w:r>
      <w:r w:rsidR="000330CF">
        <w:rPr>
          <w:lang w:val="hr-HR"/>
        </w:rPr>
        <w:t>a</w:t>
      </w:r>
      <w:r w:rsidR="00102846">
        <w:rPr>
          <w:lang w:val="hr-HR"/>
        </w:rPr>
        <w:t xml:space="preserve"> kumulativni učinak, ako ga ima, </w:t>
      </w:r>
      <w:r w:rsidR="000330CF">
        <w:rPr>
          <w:lang w:val="hr-HR"/>
        </w:rPr>
        <w:t xml:space="preserve">kao </w:t>
      </w:r>
      <w:r w:rsidR="00102846">
        <w:rPr>
          <w:lang w:val="hr-HR"/>
        </w:rPr>
        <w:t xml:space="preserve">usklađivanja početnog stanja zadržane dobiti (ili druge komponente kapitala, kako je primjereno) na datum prve primjene. </w:t>
      </w:r>
    </w:p>
    <w:p w14:paraId="54614837" w14:textId="5ADA669D" w:rsidR="00F5158D" w:rsidRPr="00EB290C" w:rsidRDefault="00B34096">
      <w:pPr>
        <w:pStyle w:val="IASBNormalnpara"/>
        <w:rPr>
          <w:lang w:val="hr-HR"/>
        </w:rPr>
      </w:pPr>
      <w:r w:rsidRPr="00EB290C">
        <w:rPr>
          <w:lang w:val="hr-HR"/>
        </w:rPr>
        <w:t>7.2.49</w:t>
      </w:r>
      <w:r w:rsidRPr="00EB290C">
        <w:rPr>
          <w:lang w:val="hr-HR"/>
        </w:rPr>
        <w:tab/>
      </w:r>
      <w:r w:rsidR="003C12BF">
        <w:rPr>
          <w:lang w:val="hr-HR"/>
        </w:rPr>
        <w:t xml:space="preserve">Na datum prve primjene izmjena i dopuna Smjernica za primjenu na </w:t>
      </w:r>
      <w:r w:rsidR="00B5397A">
        <w:rPr>
          <w:lang w:val="hr-HR"/>
        </w:rPr>
        <w:t>Odjeljak</w:t>
      </w:r>
      <w:r w:rsidR="003C12BF">
        <w:rPr>
          <w:lang w:val="hr-HR"/>
        </w:rPr>
        <w:t xml:space="preserve"> </w:t>
      </w:r>
      <w:r w:rsidRPr="00EB290C">
        <w:rPr>
          <w:lang w:val="hr-HR"/>
        </w:rPr>
        <w:t xml:space="preserve">4.1 </w:t>
      </w:r>
      <w:r w:rsidR="003C12BF">
        <w:rPr>
          <w:lang w:val="hr-HR"/>
        </w:rPr>
        <w:t>ovog standarda</w:t>
      </w:r>
      <w:r w:rsidRPr="00EB290C">
        <w:rPr>
          <w:lang w:val="hr-HR"/>
        </w:rPr>
        <w:t xml:space="preserve"> (</w:t>
      </w:r>
      <w:r w:rsidR="003C12BF">
        <w:rPr>
          <w:lang w:val="hr-HR"/>
        </w:rPr>
        <w:t>Klasifikacija finansijske imovine</w:t>
      </w:r>
      <w:r w:rsidRPr="00EB290C">
        <w:rPr>
          <w:lang w:val="hr-HR"/>
        </w:rPr>
        <w:t xml:space="preserve">), </w:t>
      </w:r>
      <w:r w:rsidR="003C12BF">
        <w:rPr>
          <w:lang w:val="hr-HR"/>
        </w:rPr>
        <w:t xml:space="preserve">subjekat treba, za svaku klasu finansijske imovine koja je promijenila kategoriju kao rezultat primjene izmjena i dopuna, objaviti: </w:t>
      </w:r>
    </w:p>
    <w:p w14:paraId="331C3854" w14:textId="7A70EAB2" w:rsidR="00F5158D" w:rsidRPr="00EB290C" w:rsidRDefault="00B34096">
      <w:pPr>
        <w:pStyle w:val="IASBNormalnparaL1"/>
        <w:rPr>
          <w:lang w:val="hr-HR"/>
        </w:rPr>
      </w:pPr>
      <w:r w:rsidRPr="00EB290C">
        <w:rPr>
          <w:lang w:val="hr-HR"/>
        </w:rPr>
        <w:t>(a)</w:t>
      </w:r>
      <w:r w:rsidRPr="00EB290C">
        <w:rPr>
          <w:lang w:val="hr-HR"/>
        </w:rPr>
        <w:tab/>
      </w:r>
      <w:r w:rsidR="003C12BF">
        <w:rPr>
          <w:lang w:val="hr-HR"/>
        </w:rPr>
        <w:t xml:space="preserve">mjernu kategoriju i knjigovodstvenu vrijednost utvrđenu neposredno prije nego su se primijenile izmjene i dopune; i </w:t>
      </w:r>
    </w:p>
    <w:p w14:paraId="3F2E0237" w14:textId="641076EF" w:rsidR="00F5158D" w:rsidRPr="00EB290C" w:rsidRDefault="00B34096">
      <w:pPr>
        <w:pStyle w:val="IASBNormalnparaL1"/>
        <w:rPr>
          <w:lang w:val="hr-HR"/>
        </w:rPr>
      </w:pPr>
      <w:r w:rsidRPr="00EB290C">
        <w:rPr>
          <w:lang w:val="hr-HR"/>
        </w:rPr>
        <w:t>(b)</w:t>
      </w:r>
      <w:r w:rsidRPr="00EB290C">
        <w:rPr>
          <w:lang w:val="hr-HR"/>
        </w:rPr>
        <w:tab/>
      </w:r>
      <w:r w:rsidR="003C12BF">
        <w:rPr>
          <w:lang w:val="hr-HR"/>
        </w:rPr>
        <w:t xml:space="preserve">mjernu kategoriju i knjigovodstvenu vrijednost utvrđenu neposredno nakon što su se primijenile izmjene i dopune. </w:t>
      </w:r>
    </w:p>
    <w:p w14:paraId="5CA9B9E4" w14:textId="77777777" w:rsidR="000F2102" w:rsidRPr="00EB290C" w:rsidRDefault="000F2102">
      <w:pPr>
        <w:pStyle w:val="IASBNormalnparaL1"/>
        <w:rPr>
          <w:lang w:val="hr-HR"/>
        </w:rPr>
        <w:sectPr w:rsidR="000F2102" w:rsidRPr="00EB290C">
          <w:headerReference w:type="even" r:id="rId14"/>
          <w:headerReference w:type="default" r:id="rId15"/>
          <w:footerReference w:type="even" r:id="rId16"/>
          <w:footerReference w:type="default" r:id="rId17"/>
          <w:pgSz w:w="11895" w:h="16834"/>
          <w:pgMar w:top="1440" w:right="1440" w:bottom="1440" w:left="1440" w:header="720" w:footer="720" w:gutter="0"/>
          <w:cols w:space="720"/>
        </w:sectPr>
      </w:pPr>
    </w:p>
    <w:p w14:paraId="764D55B0" w14:textId="6D9A6E5A" w:rsidR="00F5158D" w:rsidRPr="00EB290C" w:rsidRDefault="00102846">
      <w:pPr>
        <w:pStyle w:val="IASBSectionTitle2NonInd"/>
        <w:rPr>
          <w:lang w:val="hr-HR"/>
        </w:rPr>
      </w:pPr>
      <w:r>
        <w:rPr>
          <w:lang w:val="hr-HR"/>
        </w:rPr>
        <w:lastRenderedPageBreak/>
        <w:t xml:space="preserve">Dodatak </w:t>
      </w:r>
      <w:r w:rsidR="00B34096" w:rsidRPr="00EB290C">
        <w:rPr>
          <w:lang w:val="hr-HR"/>
        </w:rPr>
        <w:t xml:space="preserve">B </w:t>
      </w:r>
      <w:r w:rsidR="00B34096" w:rsidRPr="00EB290C">
        <w:rPr>
          <w:lang w:val="hr-HR"/>
        </w:rPr>
        <w:br/>
      </w:r>
      <w:r w:rsidR="003C12BF">
        <w:rPr>
          <w:lang w:val="hr-HR"/>
        </w:rPr>
        <w:t xml:space="preserve">Smjernice </w:t>
      </w:r>
      <w:r>
        <w:rPr>
          <w:lang w:val="hr-HR"/>
        </w:rPr>
        <w:t xml:space="preserve">za primjenu </w:t>
      </w:r>
    </w:p>
    <w:p w14:paraId="0FDD366E" w14:textId="77777777" w:rsidR="00F5158D" w:rsidRPr="00EB290C" w:rsidRDefault="00F5158D">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F5158D" w:rsidRPr="00EB290C" w14:paraId="582B1FC6" w14:textId="77777777">
        <w:tc>
          <w:tcPr>
            <w:tcW w:w="50" w:type="pct"/>
            <w:tcBorders>
              <w:bottom w:val="single" w:sz="0" w:space="0" w:color="auto"/>
              <w:right w:val="single" w:sz="0" w:space="0" w:color="auto"/>
            </w:tcBorders>
          </w:tcPr>
          <w:p w14:paraId="347DC63F" w14:textId="67DA2192" w:rsidR="00F5158D" w:rsidRPr="003C12BF" w:rsidRDefault="004D5BB8">
            <w:pPr>
              <w:pStyle w:val="IASBTableArial"/>
              <w:rPr>
                <w:lang w:val="en-US"/>
              </w:rPr>
            </w:pPr>
            <w:r>
              <w:rPr>
                <w:lang w:val="hr-HR"/>
              </w:rPr>
              <w:t xml:space="preserve">Uvedene su tačke </w:t>
            </w:r>
            <w:r w:rsidR="00B34096" w:rsidRPr="00EB290C">
              <w:rPr>
                <w:lang w:val="hr-HR"/>
              </w:rPr>
              <w:t>B3.1.2A, B3.3.8</w:t>
            </w:r>
            <w:r>
              <w:rPr>
                <w:lang w:val="hr-HR"/>
              </w:rPr>
              <w:t xml:space="preserve">, B3.3.9, </w:t>
            </w:r>
            <w:r w:rsidR="00B34096" w:rsidRPr="00EB290C">
              <w:rPr>
                <w:lang w:val="hr-HR"/>
              </w:rPr>
              <w:t xml:space="preserve">B3.3.10, B4.1.8A, B4.1.10A, B4.1.16A </w:t>
            </w:r>
            <w:r>
              <w:rPr>
                <w:lang w:val="hr-HR"/>
              </w:rPr>
              <w:t>i</w:t>
            </w:r>
            <w:r w:rsidR="00B34096" w:rsidRPr="00EB290C">
              <w:rPr>
                <w:lang w:val="hr-HR"/>
              </w:rPr>
              <w:t xml:space="preserve"> B4.1.20A </w:t>
            </w:r>
            <w:r>
              <w:rPr>
                <w:lang w:val="hr-HR"/>
              </w:rPr>
              <w:t xml:space="preserve">te naslov ispred tačke </w:t>
            </w:r>
            <w:r w:rsidR="00B34096" w:rsidRPr="00EB290C">
              <w:rPr>
                <w:lang w:val="hr-HR"/>
              </w:rPr>
              <w:t>B3.1.2A</w:t>
            </w:r>
            <w:r>
              <w:rPr>
                <w:lang w:val="hr-HR"/>
              </w:rPr>
              <w:t xml:space="preserve">. Izvršene su izmjene i dopune tačaka </w:t>
            </w:r>
            <w:r w:rsidR="00B34096" w:rsidRPr="00EB290C">
              <w:rPr>
                <w:lang w:val="hr-HR"/>
              </w:rPr>
              <w:t>B4.1.10, B4.1.13, B4.1.14, B4.1.16, B4.1.17, B4.1.20, B4.1.21</w:t>
            </w:r>
            <w:r w:rsidR="00AC3F48">
              <w:rPr>
                <w:lang w:val="hr-HR"/>
              </w:rPr>
              <w:t>.</w:t>
            </w:r>
            <w:r w:rsidR="00B34096" w:rsidRPr="00EB290C">
              <w:rPr>
                <w:lang w:val="hr-HR"/>
              </w:rPr>
              <w:t xml:space="preserve"> </w:t>
            </w:r>
            <w:r>
              <w:rPr>
                <w:lang w:val="hr-HR"/>
              </w:rPr>
              <w:t>i</w:t>
            </w:r>
            <w:r w:rsidR="00B34096" w:rsidRPr="00EB290C">
              <w:rPr>
                <w:lang w:val="hr-HR"/>
              </w:rPr>
              <w:t xml:space="preserve"> B4.1.23</w:t>
            </w:r>
            <w:r>
              <w:rPr>
                <w:lang w:val="hr-HR"/>
              </w:rPr>
              <w:t xml:space="preserve">. Tačke </w:t>
            </w:r>
            <w:r w:rsidR="00B34096" w:rsidRPr="00EB290C">
              <w:rPr>
                <w:lang w:val="hr-HR"/>
              </w:rPr>
              <w:t>B4.1.7A, B4.1.15</w:t>
            </w:r>
            <w:r w:rsidR="00AC3F48">
              <w:rPr>
                <w:lang w:val="hr-HR"/>
              </w:rPr>
              <w:t>.</w:t>
            </w:r>
            <w:r w:rsidR="00B34096" w:rsidRPr="00EB290C">
              <w:rPr>
                <w:lang w:val="hr-HR"/>
              </w:rPr>
              <w:t xml:space="preserve"> </w:t>
            </w:r>
            <w:r>
              <w:rPr>
                <w:lang w:val="hr-HR"/>
              </w:rPr>
              <w:t>i</w:t>
            </w:r>
            <w:r w:rsidR="00B34096" w:rsidRPr="00EB290C">
              <w:rPr>
                <w:lang w:val="hr-HR"/>
              </w:rPr>
              <w:t xml:space="preserve"> B4.1.22</w:t>
            </w:r>
            <w:r w:rsidR="00AC3F48">
              <w:rPr>
                <w:lang w:val="hr-HR"/>
              </w:rPr>
              <w:t>.</w:t>
            </w:r>
            <w:r w:rsidR="00B34096" w:rsidRPr="00EB290C">
              <w:rPr>
                <w:lang w:val="hr-HR"/>
              </w:rPr>
              <w:t xml:space="preserve"> </w:t>
            </w:r>
            <w:r>
              <w:rPr>
                <w:lang w:val="hr-HR"/>
              </w:rPr>
              <w:t xml:space="preserve">nisu pretrpjele nikakve izmjene, ali su uvrštene ovdje zbog bolje preglednosti. Novi tekst je podvučen a brisani precrtan. </w:t>
            </w:r>
          </w:p>
        </w:tc>
      </w:tr>
    </w:tbl>
    <w:p w14:paraId="096ED450" w14:textId="77777777" w:rsidR="00F5158D" w:rsidRPr="00EB290C" w:rsidRDefault="00F5158D">
      <w:pPr>
        <w:pStyle w:val="IASBNormalnpara"/>
        <w:rPr>
          <w:lang w:val="hr-HR"/>
        </w:rPr>
      </w:pPr>
    </w:p>
    <w:p w14:paraId="7BD3AB52" w14:textId="4376CD93" w:rsidR="00F5158D" w:rsidRPr="00EB290C" w:rsidRDefault="009C5CE4">
      <w:pPr>
        <w:pStyle w:val="IASBSectionTitle1NonInd"/>
        <w:rPr>
          <w:lang w:val="hr-HR"/>
        </w:rPr>
      </w:pPr>
      <w:r>
        <w:rPr>
          <w:lang w:val="hr-HR"/>
        </w:rPr>
        <w:t xml:space="preserve">Priznavanje i prestanak priznavanja </w:t>
      </w:r>
      <w:r w:rsidR="00B34096" w:rsidRPr="00EB290C">
        <w:rPr>
          <w:lang w:val="hr-HR"/>
        </w:rPr>
        <w:t>(</w:t>
      </w:r>
      <w:r>
        <w:rPr>
          <w:lang w:val="hr-HR"/>
        </w:rPr>
        <w:t>Poglavlje</w:t>
      </w:r>
      <w:r w:rsidR="00B34096" w:rsidRPr="00EB290C">
        <w:rPr>
          <w:lang w:val="hr-HR"/>
        </w:rPr>
        <w:t> 3)</w:t>
      </w:r>
    </w:p>
    <w:p w14:paraId="026053B7" w14:textId="61BD78D9" w:rsidR="00F5158D" w:rsidRPr="00EB290C" w:rsidRDefault="009C5CE4">
      <w:pPr>
        <w:pStyle w:val="IASBSectionTitle2Ind"/>
        <w:rPr>
          <w:lang w:val="hr-HR"/>
        </w:rPr>
      </w:pPr>
      <w:r>
        <w:rPr>
          <w:lang w:val="hr-HR"/>
        </w:rPr>
        <w:t xml:space="preserve">Početno priznavanje </w:t>
      </w:r>
      <w:r w:rsidR="00B34096" w:rsidRPr="00EB290C">
        <w:rPr>
          <w:lang w:val="hr-HR"/>
        </w:rPr>
        <w:t>(</w:t>
      </w:r>
      <w:r w:rsidR="003C12BF">
        <w:rPr>
          <w:lang w:val="hr-HR"/>
        </w:rPr>
        <w:t>Odjeljak</w:t>
      </w:r>
      <w:r w:rsidR="00B34096" w:rsidRPr="00EB290C">
        <w:rPr>
          <w:lang w:val="hr-HR"/>
        </w:rPr>
        <w:t xml:space="preserve"> 3.1)</w:t>
      </w:r>
    </w:p>
    <w:p w14:paraId="44784EC0" w14:textId="77777777" w:rsidR="00F5158D" w:rsidRPr="00EB290C" w:rsidRDefault="00B34096">
      <w:pPr>
        <w:pStyle w:val="IASBNormalnpara"/>
        <w:rPr>
          <w:lang w:val="hr-HR"/>
        </w:rPr>
      </w:pPr>
      <w:r w:rsidRPr="00EB290C">
        <w:rPr>
          <w:lang w:val="hr-HR"/>
        </w:rPr>
        <w:tab/>
        <w:t>...</w:t>
      </w:r>
    </w:p>
    <w:p w14:paraId="5671E93A" w14:textId="4912C9D2" w:rsidR="00F5158D" w:rsidRPr="00EB290C" w:rsidRDefault="00B34096">
      <w:pPr>
        <w:pStyle w:val="IASBSectionTitle3Ind"/>
        <w:rPr>
          <w:lang w:val="hr-HR"/>
        </w:rPr>
      </w:pPr>
      <w:r w:rsidRPr="00EB290C">
        <w:rPr>
          <w:u w:val="single"/>
          <w:lang w:val="hr-HR"/>
        </w:rPr>
        <w:t>D</w:t>
      </w:r>
      <w:r w:rsidR="003C12BF">
        <w:rPr>
          <w:u w:val="single"/>
          <w:lang w:val="hr-HR"/>
        </w:rPr>
        <w:t>atum prvog priznavanja ili prestanka priznavanja</w:t>
      </w:r>
    </w:p>
    <w:p w14:paraId="6B0D3FDE" w14:textId="79880E40" w:rsidR="00F5158D" w:rsidRPr="00EB290C" w:rsidRDefault="00B34096">
      <w:pPr>
        <w:pStyle w:val="IASBNormalnpara"/>
        <w:rPr>
          <w:lang w:val="hr-HR"/>
        </w:rPr>
      </w:pPr>
      <w:r w:rsidRPr="00EB290C">
        <w:rPr>
          <w:u w:val="single"/>
          <w:lang w:val="hr-HR"/>
        </w:rPr>
        <w:t>B3.1.2A</w:t>
      </w:r>
      <w:r w:rsidRPr="00EB290C">
        <w:rPr>
          <w:lang w:val="hr-HR"/>
        </w:rPr>
        <w:tab/>
      </w:r>
      <w:r w:rsidR="003C12BF">
        <w:rPr>
          <w:u w:val="single"/>
          <w:lang w:val="hr-HR"/>
        </w:rPr>
        <w:t xml:space="preserve">Osim kada važi tačka </w:t>
      </w:r>
      <w:r w:rsidRPr="00EB290C">
        <w:rPr>
          <w:u w:val="single"/>
          <w:lang w:val="hr-HR"/>
        </w:rPr>
        <w:t>3.1.2</w:t>
      </w:r>
      <w:r w:rsidR="003C12BF">
        <w:rPr>
          <w:u w:val="single"/>
          <w:lang w:val="hr-HR"/>
        </w:rPr>
        <w:t xml:space="preserve">, subjekt priznaje financijsku imovinu ili financijsku obavezu </w:t>
      </w:r>
      <w:r w:rsidR="00AC3F48">
        <w:rPr>
          <w:u w:val="single"/>
          <w:lang w:val="hr-HR"/>
        </w:rPr>
        <w:t>na datum</w:t>
      </w:r>
      <w:r w:rsidR="004C4552">
        <w:rPr>
          <w:u w:val="single"/>
          <w:lang w:val="hr-HR"/>
        </w:rPr>
        <w:t xml:space="preserve"> kada postane strana ugovornih odredbi instrumenta </w:t>
      </w:r>
      <w:r w:rsidRPr="00EB290C">
        <w:rPr>
          <w:u w:val="single"/>
          <w:lang w:val="hr-HR"/>
        </w:rPr>
        <w:t>(</w:t>
      </w:r>
      <w:r w:rsidR="004C4552">
        <w:rPr>
          <w:u w:val="single"/>
          <w:lang w:val="hr-HR"/>
        </w:rPr>
        <w:t>vidjeti tačku</w:t>
      </w:r>
      <w:r w:rsidRPr="00EB290C">
        <w:rPr>
          <w:u w:val="single"/>
          <w:lang w:val="hr-HR"/>
        </w:rPr>
        <w:t xml:space="preserve"> 3.1.1</w:t>
      </w:r>
      <w:r w:rsidR="007F3ABE">
        <w:rPr>
          <w:u w:val="single"/>
          <w:lang w:val="hr-HR"/>
        </w:rPr>
        <w:t>.</w:t>
      </w:r>
      <w:r w:rsidRPr="00EB290C">
        <w:rPr>
          <w:u w:val="single"/>
          <w:lang w:val="hr-HR"/>
        </w:rPr>
        <w:t xml:space="preserve">). </w:t>
      </w:r>
      <w:r w:rsidR="004C4552">
        <w:rPr>
          <w:u w:val="single"/>
          <w:lang w:val="hr-HR"/>
        </w:rPr>
        <w:t xml:space="preserve">Finansijska imovina se prestaje priznavati na dan kada isteknu ugovorna prava na novčane tokove </w:t>
      </w:r>
      <w:r w:rsidR="00F344CA">
        <w:rPr>
          <w:u w:val="single"/>
          <w:lang w:val="hr-HR"/>
        </w:rPr>
        <w:t xml:space="preserve">ili se </w:t>
      </w:r>
      <w:r w:rsidR="007F3ABE">
        <w:rPr>
          <w:u w:val="single"/>
          <w:lang w:val="hr-HR"/>
        </w:rPr>
        <w:t xml:space="preserve">imovina </w:t>
      </w:r>
      <w:r w:rsidR="00F344CA">
        <w:rPr>
          <w:u w:val="single"/>
          <w:lang w:val="hr-HR"/>
        </w:rPr>
        <w:t>pren</w:t>
      </w:r>
      <w:r w:rsidR="007F3ABE">
        <w:rPr>
          <w:u w:val="single"/>
          <w:lang w:val="hr-HR"/>
        </w:rPr>
        <w:t>ese</w:t>
      </w:r>
      <w:r w:rsidR="00F344CA">
        <w:rPr>
          <w:u w:val="single"/>
          <w:lang w:val="hr-HR"/>
        </w:rPr>
        <w:t xml:space="preserve"> </w:t>
      </w:r>
      <w:r w:rsidRPr="00EB290C">
        <w:rPr>
          <w:u w:val="single"/>
          <w:lang w:val="hr-HR"/>
        </w:rPr>
        <w:t>(</w:t>
      </w:r>
      <w:r w:rsidR="00F344CA">
        <w:rPr>
          <w:u w:val="single"/>
          <w:lang w:val="hr-HR"/>
        </w:rPr>
        <w:t>vidjeti tačku</w:t>
      </w:r>
      <w:r w:rsidRPr="00EB290C">
        <w:rPr>
          <w:u w:val="single"/>
          <w:lang w:val="hr-HR"/>
        </w:rPr>
        <w:t xml:space="preserve"> 3.2.3</w:t>
      </w:r>
      <w:r w:rsidR="007F3ABE">
        <w:rPr>
          <w:u w:val="single"/>
          <w:lang w:val="hr-HR"/>
        </w:rPr>
        <w:t>.</w:t>
      </w:r>
      <w:r w:rsidRPr="00EB290C">
        <w:rPr>
          <w:u w:val="single"/>
          <w:lang w:val="hr-HR"/>
        </w:rPr>
        <w:t xml:space="preserve">). </w:t>
      </w:r>
      <w:r w:rsidR="00F344CA">
        <w:rPr>
          <w:u w:val="single"/>
          <w:lang w:val="hr-HR"/>
        </w:rPr>
        <w:t xml:space="preserve">Osim ako subjekt odabere primjenjivati tačku </w:t>
      </w:r>
      <w:r w:rsidRPr="00EB290C">
        <w:rPr>
          <w:u w:val="single"/>
          <w:lang w:val="hr-HR"/>
        </w:rPr>
        <w:t>B3.3.8</w:t>
      </w:r>
      <w:r w:rsidR="007F3ABE">
        <w:rPr>
          <w:u w:val="single"/>
          <w:lang w:val="hr-HR"/>
        </w:rPr>
        <w:t>.</w:t>
      </w:r>
      <w:r w:rsidRPr="00EB290C">
        <w:rPr>
          <w:u w:val="single"/>
          <w:lang w:val="hr-HR"/>
        </w:rPr>
        <w:t xml:space="preserve">, </w:t>
      </w:r>
      <w:r w:rsidR="00F344CA">
        <w:rPr>
          <w:u w:val="single"/>
          <w:lang w:val="hr-HR"/>
        </w:rPr>
        <w:t>financijska obaveza se prestaje priznavati na datum izmirenja</w:t>
      </w:r>
      <w:r w:rsidRPr="00EB290C">
        <w:rPr>
          <w:u w:val="single"/>
          <w:lang w:val="hr-HR"/>
        </w:rPr>
        <w:t xml:space="preserve">, </w:t>
      </w:r>
      <w:r w:rsidR="00F344CA">
        <w:rPr>
          <w:u w:val="single"/>
          <w:lang w:val="hr-HR"/>
        </w:rPr>
        <w:t xml:space="preserve">što je datum kada se ona ugasi jer se </w:t>
      </w:r>
      <w:r w:rsidR="007F3ABE">
        <w:rPr>
          <w:u w:val="single"/>
          <w:lang w:val="hr-HR"/>
        </w:rPr>
        <w:t>dužnost</w:t>
      </w:r>
      <w:r w:rsidR="00F344CA">
        <w:rPr>
          <w:u w:val="single"/>
          <w:lang w:val="hr-HR"/>
        </w:rPr>
        <w:t xml:space="preserve"> iz ugovora i</w:t>
      </w:r>
      <w:r w:rsidR="0007797E">
        <w:rPr>
          <w:u w:val="single"/>
          <w:lang w:val="hr-HR"/>
        </w:rPr>
        <w:t>spunila</w:t>
      </w:r>
      <w:r w:rsidR="00F344CA">
        <w:rPr>
          <w:u w:val="single"/>
          <w:lang w:val="hr-HR"/>
        </w:rPr>
        <w:t xml:space="preserve">, poništila ili istekla </w:t>
      </w:r>
      <w:r w:rsidRPr="00EB290C">
        <w:rPr>
          <w:u w:val="single"/>
          <w:lang w:val="hr-HR"/>
        </w:rPr>
        <w:t>(</w:t>
      </w:r>
      <w:r w:rsidR="00F344CA">
        <w:rPr>
          <w:u w:val="single"/>
          <w:lang w:val="hr-HR"/>
        </w:rPr>
        <w:t>vidjeti tačku</w:t>
      </w:r>
      <w:r w:rsidRPr="00EB290C">
        <w:rPr>
          <w:u w:val="single"/>
          <w:lang w:val="hr-HR"/>
        </w:rPr>
        <w:t xml:space="preserve"> 3.3.1</w:t>
      </w:r>
      <w:r w:rsidR="0007797E">
        <w:rPr>
          <w:u w:val="single"/>
          <w:lang w:val="hr-HR"/>
        </w:rPr>
        <w:t>.</w:t>
      </w:r>
      <w:r w:rsidRPr="00EB290C">
        <w:rPr>
          <w:u w:val="single"/>
          <w:lang w:val="hr-HR"/>
        </w:rPr>
        <w:t>)</w:t>
      </w:r>
      <w:r w:rsidR="00F344CA">
        <w:rPr>
          <w:u w:val="single"/>
          <w:lang w:val="hr-HR"/>
        </w:rPr>
        <w:t xml:space="preserve">, odnosno onda kada obaveza zadovolji neki drugi uvjet da se prestane priznavati </w:t>
      </w:r>
      <w:r w:rsidRPr="00EB290C">
        <w:rPr>
          <w:u w:val="single"/>
          <w:lang w:val="hr-HR"/>
        </w:rPr>
        <w:t>(</w:t>
      </w:r>
      <w:r w:rsidR="00F344CA">
        <w:rPr>
          <w:u w:val="single"/>
          <w:lang w:val="hr-HR"/>
        </w:rPr>
        <w:t>vidjeti tačku</w:t>
      </w:r>
      <w:r w:rsidRPr="00EB290C">
        <w:rPr>
          <w:u w:val="single"/>
          <w:lang w:val="hr-HR"/>
        </w:rPr>
        <w:t xml:space="preserve"> 3.3.2</w:t>
      </w:r>
      <w:r w:rsidR="0007797E">
        <w:rPr>
          <w:u w:val="single"/>
          <w:lang w:val="hr-HR"/>
        </w:rPr>
        <w:t>.</w:t>
      </w:r>
      <w:r w:rsidRPr="00EB290C">
        <w:rPr>
          <w:u w:val="single"/>
          <w:lang w:val="hr-HR"/>
        </w:rPr>
        <w:t>).</w:t>
      </w:r>
    </w:p>
    <w:p w14:paraId="765813C4" w14:textId="77777777" w:rsidR="00F5158D" w:rsidRPr="00EB290C" w:rsidRDefault="00B34096">
      <w:pPr>
        <w:pStyle w:val="IASBNormalnpara"/>
        <w:rPr>
          <w:lang w:val="hr-HR"/>
        </w:rPr>
      </w:pPr>
      <w:r w:rsidRPr="00EB290C">
        <w:rPr>
          <w:lang w:val="hr-HR"/>
        </w:rPr>
        <w:tab/>
        <w:t>...</w:t>
      </w:r>
    </w:p>
    <w:p w14:paraId="2BFB4A9A" w14:textId="364009FE" w:rsidR="00F5158D" w:rsidRPr="00EB290C" w:rsidRDefault="009C5CE4">
      <w:pPr>
        <w:pStyle w:val="IASBSectionTitle2Ind"/>
        <w:rPr>
          <w:lang w:val="hr-HR"/>
        </w:rPr>
      </w:pPr>
      <w:r>
        <w:rPr>
          <w:lang w:val="hr-HR"/>
        </w:rPr>
        <w:t>Prestanak priznavanja finansijskih obaveza</w:t>
      </w:r>
      <w:r w:rsidR="00B34096" w:rsidRPr="00EB290C">
        <w:rPr>
          <w:lang w:val="hr-HR"/>
        </w:rPr>
        <w:t xml:space="preserve"> (</w:t>
      </w:r>
      <w:r w:rsidR="00F344CA">
        <w:rPr>
          <w:lang w:val="hr-HR"/>
        </w:rPr>
        <w:t>Odjeljak</w:t>
      </w:r>
      <w:r w:rsidR="00B34096" w:rsidRPr="00EB290C">
        <w:rPr>
          <w:lang w:val="hr-HR"/>
        </w:rPr>
        <w:t xml:space="preserve"> 3.3)</w:t>
      </w:r>
    </w:p>
    <w:p w14:paraId="6269CE49" w14:textId="77777777" w:rsidR="00F5158D" w:rsidRPr="00EB290C" w:rsidRDefault="00B34096">
      <w:pPr>
        <w:pStyle w:val="IASBNormalnpara"/>
        <w:rPr>
          <w:lang w:val="hr-HR"/>
        </w:rPr>
      </w:pPr>
      <w:r w:rsidRPr="00EB290C">
        <w:rPr>
          <w:lang w:val="hr-HR"/>
        </w:rPr>
        <w:tab/>
        <w:t>...</w:t>
      </w:r>
    </w:p>
    <w:p w14:paraId="101BA648" w14:textId="1CF9526C" w:rsidR="00F5158D" w:rsidRPr="00EB290C" w:rsidRDefault="00B34096">
      <w:pPr>
        <w:pStyle w:val="IASBNormalnpara"/>
        <w:rPr>
          <w:lang w:val="hr-HR"/>
        </w:rPr>
      </w:pPr>
      <w:r w:rsidRPr="00EB290C">
        <w:rPr>
          <w:u w:val="single"/>
          <w:lang w:val="hr-HR"/>
        </w:rPr>
        <w:t>B3.3.8</w:t>
      </w:r>
      <w:r w:rsidRPr="00EB290C">
        <w:rPr>
          <w:lang w:val="hr-HR"/>
        </w:rPr>
        <w:tab/>
      </w:r>
      <w:r w:rsidR="00F344CA">
        <w:rPr>
          <w:u w:val="single"/>
          <w:lang w:val="hr-HR"/>
        </w:rPr>
        <w:t xml:space="preserve">Bez obzira na zahtjev iz tačke </w:t>
      </w:r>
      <w:r w:rsidRPr="00EB290C">
        <w:rPr>
          <w:u w:val="single"/>
          <w:lang w:val="hr-HR"/>
        </w:rPr>
        <w:t xml:space="preserve">B3.1.2A </w:t>
      </w:r>
      <w:r w:rsidR="00F344CA">
        <w:rPr>
          <w:u w:val="single"/>
          <w:lang w:val="hr-HR"/>
        </w:rPr>
        <w:t>da se finansijska obaveza prestane priznavati na datum njenog izmirenja, u slučajevima kada finansijsk</w:t>
      </w:r>
      <w:r w:rsidR="00E06B76">
        <w:rPr>
          <w:u w:val="single"/>
          <w:lang w:val="hr-HR"/>
        </w:rPr>
        <w:t>u</w:t>
      </w:r>
      <w:r w:rsidR="00F344CA">
        <w:rPr>
          <w:u w:val="single"/>
          <w:lang w:val="hr-HR"/>
        </w:rPr>
        <w:t xml:space="preserve"> obavez</w:t>
      </w:r>
      <w:r w:rsidR="00E06B76">
        <w:rPr>
          <w:u w:val="single"/>
          <w:lang w:val="hr-HR"/>
        </w:rPr>
        <w:t>u</w:t>
      </w:r>
      <w:r w:rsidR="00F344CA">
        <w:rPr>
          <w:u w:val="single"/>
          <w:lang w:val="hr-HR"/>
        </w:rPr>
        <w:t xml:space="preserve"> (ili dio finansijske obaveze) izmiruje u gotovini putem nekog elektronskog sistema plaćanja</w:t>
      </w:r>
      <w:r w:rsidRPr="00EB290C">
        <w:rPr>
          <w:u w:val="single"/>
          <w:lang w:val="hr-HR"/>
        </w:rPr>
        <w:t xml:space="preserve">, </w:t>
      </w:r>
      <w:r w:rsidR="00E06B76">
        <w:rPr>
          <w:u w:val="single"/>
          <w:lang w:val="hr-HR"/>
        </w:rPr>
        <w:t xml:space="preserve">subjekt smije smatrati finansijsku obavezu (ili dio finansijske obaveze) ispunjenom i prije datuma njenog i izmirenja </w:t>
      </w:r>
      <w:r w:rsidR="008C2D57">
        <w:rPr>
          <w:u w:val="single"/>
          <w:lang w:val="hr-HR"/>
        </w:rPr>
        <w:t>onda</w:t>
      </w:r>
      <w:r w:rsidR="00E06B76">
        <w:rPr>
          <w:u w:val="single"/>
          <w:lang w:val="hr-HR"/>
        </w:rPr>
        <w:t xml:space="preserve"> i samo </w:t>
      </w:r>
      <w:r w:rsidR="008C2D57">
        <w:rPr>
          <w:u w:val="single"/>
          <w:lang w:val="hr-HR"/>
        </w:rPr>
        <w:t xml:space="preserve">onda </w:t>
      </w:r>
      <w:r w:rsidR="00E06B76">
        <w:rPr>
          <w:u w:val="single"/>
          <w:lang w:val="hr-HR"/>
        </w:rPr>
        <w:t xml:space="preserve">kada je izdao </w:t>
      </w:r>
      <w:r w:rsidR="00685D77">
        <w:rPr>
          <w:u w:val="single"/>
          <w:lang w:val="hr-HR"/>
        </w:rPr>
        <w:t>platni nalog</w:t>
      </w:r>
      <w:r w:rsidR="00E06B76">
        <w:rPr>
          <w:u w:val="single"/>
          <w:lang w:val="hr-HR"/>
        </w:rPr>
        <w:t xml:space="preserve"> koji vodi tome da</w:t>
      </w:r>
      <w:r w:rsidRPr="00EB290C">
        <w:rPr>
          <w:u w:val="single"/>
          <w:lang w:val="hr-HR"/>
        </w:rPr>
        <w:t>:</w:t>
      </w:r>
    </w:p>
    <w:p w14:paraId="0FC6D0E1" w14:textId="12F582DA" w:rsidR="00F5158D" w:rsidRPr="00EB290C" w:rsidRDefault="00B34096">
      <w:pPr>
        <w:pStyle w:val="IASBNormalnparaL1"/>
        <w:rPr>
          <w:lang w:val="hr-HR"/>
        </w:rPr>
      </w:pPr>
      <w:r w:rsidRPr="00EB290C">
        <w:rPr>
          <w:u w:val="single"/>
          <w:lang w:val="hr-HR"/>
        </w:rPr>
        <w:t>(a)</w:t>
      </w:r>
      <w:r w:rsidRPr="00EB290C">
        <w:rPr>
          <w:lang w:val="hr-HR"/>
        </w:rPr>
        <w:tab/>
      </w:r>
      <w:r w:rsidR="00E06B76">
        <w:rPr>
          <w:u w:val="single"/>
          <w:lang w:val="hr-HR"/>
        </w:rPr>
        <w:t xml:space="preserve">subjekt nema praktičnu mogućnost povući, stopirati ili otkazati </w:t>
      </w:r>
      <w:r w:rsidR="008C2D57">
        <w:rPr>
          <w:u w:val="single"/>
          <w:lang w:val="hr-HR"/>
        </w:rPr>
        <w:t>platni nalog</w:t>
      </w:r>
      <w:r w:rsidRPr="00EB290C">
        <w:rPr>
          <w:u w:val="single"/>
          <w:lang w:val="hr-HR"/>
        </w:rPr>
        <w:t>;</w:t>
      </w:r>
    </w:p>
    <w:p w14:paraId="59480E78" w14:textId="45F2A064" w:rsidR="00F5158D" w:rsidRPr="00EB290C" w:rsidRDefault="00B34096">
      <w:pPr>
        <w:pStyle w:val="IASBNormalnparaL1"/>
        <w:rPr>
          <w:lang w:val="hr-HR"/>
        </w:rPr>
      </w:pPr>
      <w:r w:rsidRPr="00EB290C">
        <w:rPr>
          <w:u w:val="single"/>
          <w:lang w:val="hr-HR"/>
        </w:rPr>
        <w:t>(b)</w:t>
      </w:r>
      <w:r w:rsidRPr="00EB290C">
        <w:rPr>
          <w:lang w:val="hr-HR"/>
        </w:rPr>
        <w:tab/>
      </w:r>
      <w:r w:rsidR="00E06B76">
        <w:rPr>
          <w:u w:val="single"/>
          <w:lang w:val="hr-HR"/>
        </w:rPr>
        <w:t xml:space="preserve">subjekt nema praktičnu mogućnost pristupiti gotovini koja će biti korištena za izmirenje na osnovu izdatog </w:t>
      </w:r>
      <w:r w:rsidR="008C2D57">
        <w:rPr>
          <w:u w:val="single"/>
          <w:lang w:val="hr-HR"/>
        </w:rPr>
        <w:t>platnog naloga</w:t>
      </w:r>
      <w:r w:rsidRPr="00EB290C">
        <w:rPr>
          <w:u w:val="single"/>
          <w:lang w:val="hr-HR"/>
        </w:rPr>
        <w:t xml:space="preserve">; </w:t>
      </w:r>
      <w:r w:rsidR="00E06B76">
        <w:rPr>
          <w:u w:val="single"/>
          <w:lang w:val="hr-HR"/>
        </w:rPr>
        <w:t>i</w:t>
      </w:r>
    </w:p>
    <w:p w14:paraId="3C5FFD6B" w14:textId="0764FE46" w:rsidR="00F5158D" w:rsidRPr="00EB290C" w:rsidRDefault="00B34096">
      <w:pPr>
        <w:pStyle w:val="IASBNormalnparaL1"/>
        <w:rPr>
          <w:lang w:val="hr-HR"/>
        </w:rPr>
      </w:pPr>
      <w:r w:rsidRPr="00EB290C">
        <w:rPr>
          <w:u w:val="single"/>
          <w:lang w:val="hr-HR"/>
        </w:rPr>
        <w:t>(c)</w:t>
      </w:r>
      <w:r w:rsidRPr="00EB290C">
        <w:rPr>
          <w:lang w:val="hr-HR"/>
        </w:rPr>
        <w:tab/>
      </w:r>
      <w:r w:rsidR="00E06B76">
        <w:rPr>
          <w:u w:val="single"/>
          <w:lang w:val="hr-HR"/>
        </w:rPr>
        <w:t xml:space="preserve">rizik izmirenja koji se vezuje uz dati elektronski sistem plaćanja nije značajan. </w:t>
      </w:r>
    </w:p>
    <w:p w14:paraId="4989B3F5" w14:textId="4F1F2F6E" w:rsidR="00F5158D" w:rsidRPr="00EB290C" w:rsidRDefault="00B34096">
      <w:pPr>
        <w:pStyle w:val="IASBNormalnpara"/>
        <w:rPr>
          <w:lang w:val="hr-HR"/>
        </w:rPr>
      </w:pPr>
      <w:r w:rsidRPr="00EB290C">
        <w:rPr>
          <w:u w:val="single"/>
          <w:lang w:val="hr-HR"/>
        </w:rPr>
        <w:t>B3.3.9</w:t>
      </w:r>
      <w:r w:rsidRPr="00EB290C">
        <w:rPr>
          <w:lang w:val="hr-HR"/>
        </w:rPr>
        <w:tab/>
      </w:r>
      <w:r w:rsidR="002018AF">
        <w:rPr>
          <w:u w:val="single"/>
          <w:lang w:val="hr-HR"/>
        </w:rPr>
        <w:t>Za potrebe primjene podtačke (c)</w:t>
      </w:r>
      <w:r w:rsidRPr="00EB290C">
        <w:rPr>
          <w:u w:val="single"/>
          <w:lang w:val="hr-HR"/>
        </w:rPr>
        <w:t xml:space="preserve"> </w:t>
      </w:r>
      <w:r w:rsidR="002018AF">
        <w:rPr>
          <w:u w:val="single"/>
          <w:lang w:val="hr-HR"/>
        </w:rPr>
        <w:t xml:space="preserve">tačke </w:t>
      </w:r>
      <w:r w:rsidRPr="00EB290C">
        <w:rPr>
          <w:u w:val="single"/>
          <w:lang w:val="hr-HR"/>
        </w:rPr>
        <w:t>B3.3.8</w:t>
      </w:r>
      <w:r w:rsidR="008C2D57">
        <w:rPr>
          <w:u w:val="single"/>
          <w:lang w:val="hr-HR"/>
        </w:rPr>
        <w:t>.</w:t>
      </w:r>
      <w:r w:rsidRPr="00EB290C">
        <w:rPr>
          <w:u w:val="single"/>
          <w:lang w:val="hr-HR"/>
        </w:rPr>
        <w:t xml:space="preserve">, </w:t>
      </w:r>
      <w:r w:rsidR="002018AF">
        <w:rPr>
          <w:u w:val="single"/>
          <w:lang w:val="hr-HR"/>
        </w:rPr>
        <w:t xml:space="preserve">rizik izmirenja koji se vezuje uz neki elektronski sistem plaćanja nije značajan ako su njegove karakteristike takve da </w:t>
      </w:r>
      <w:r w:rsidR="008C2D57">
        <w:rPr>
          <w:u w:val="single"/>
          <w:lang w:val="hr-HR"/>
        </w:rPr>
        <w:t>se platni nalozi izvršavaju p</w:t>
      </w:r>
      <w:r w:rsidR="002264C7">
        <w:rPr>
          <w:u w:val="single"/>
          <w:lang w:val="hr-HR"/>
        </w:rPr>
        <w:t>o</w:t>
      </w:r>
      <w:r w:rsidR="002018AF">
        <w:rPr>
          <w:u w:val="single"/>
          <w:lang w:val="hr-HR"/>
        </w:rPr>
        <w:t xml:space="preserve"> standardn</w:t>
      </w:r>
      <w:r w:rsidR="008C2D57">
        <w:rPr>
          <w:u w:val="single"/>
          <w:lang w:val="hr-HR"/>
        </w:rPr>
        <w:t>om</w:t>
      </w:r>
      <w:r w:rsidR="002018AF">
        <w:rPr>
          <w:u w:val="single"/>
          <w:lang w:val="hr-HR"/>
        </w:rPr>
        <w:t xml:space="preserve"> upravn</w:t>
      </w:r>
      <w:r w:rsidR="008C2D57">
        <w:rPr>
          <w:u w:val="single"/>
          <w:lang w:val="hr-HR"/>
        </w:rPr>
        <w:t>om</w:t>
      </w:r>
      <w:r w:rsidR="002018AF">
        <w:rPr>
          <w:u w:val="single"/>
          <w:lang w:val="hr-HR"/>
        </w:rPr>
        <w:t xml:space="preserve"> postupk</w:t>
      </w:r>
      <w:r w:rsidR="008C2D57">
        <w:rPr>
          <w:u w:val="single"/>
          <w:lang w:val="hr-HR"/>
        </w:rPr>
        <w:t>u</w:t>
      </w:r>
      <w:r w:rsidR="002018AF">
        <w:rPr>
          <w:u w:val="single"/>
          <w:lang w:val="hr-HR"/>
        </w:rPr>
        <w:t xml:space="preserve"> a period između zadovoljenja kriterija iz podtački (a) i (b) tačke</w:t>
      </w:r>
      <w:r w:rsidRPr="00EB290C">
        <w:rPr>
          <w:u w:val="single"/>
          <w:lang w:val="hr-HR"/>
        </w:rPr>
        <w:t xml:space="preserve"> B3.3.8</w:t>
      </w:r>
      <w:r w:rsidR="002264C7">
        <w:rPr>
          <w:u w:val="single"/>
          <w:lang w:val="hr-HR"/>
        </w:rPr>
        <w:t>.</w:t>
      </w:r>
      <w:r w:rsidR="002018AF">
        <w:rPr>
          <w:u w:val="single"/>
          <w:lang w:val="hr-HR"/>
        </w:rPr>
        <w:t xml:space="preserve"> i isporuke gotovine drugoj ugovornoj strani je kratak. Taj rizik, međutim, se ne bi smatrao beznačajnim ako bi izvršenje p</w:t>
      </w:r>
      <w:r w:rsidR="003D5A10">
        <w:rPr>
          <w:u w:val="single"/>
          <w:lang w:val="hr-HR"/>
        </w:rPr>
        <w:t>latnog naloga zavisilo od sposobnosti subjekta da isporuči gotovinu na datum izmirenja obaveze</w:t>
      </w:r>
      <w:r w:rsidRPr="00EB290C">
        <w:rPr>
          <w:u w:val="single"/>
          <w:lang w:val="hr-HR"/>
        </w:rPr>
        <w:t>.</w:t>
      </w:r>
    </w:p>
    <w:p w14:paraId="42C99FC9" w14:textId="6F3D6D7E" w:rsidR="00F5158D" w:rsidRPr="00EB290C" w:rsidRDefault="00B34096">
      <w:pPr>
        <w:pStyle w:val="IASBNormalnpara"/>
        <w:rPr>
          <w:lang w:val="hr-HR"/>
        </w:rPr>
      </w:pPr>
      <w:r w:rsidRPr="00EB290C">
        <w:rPr>
          <w:u w:val="single"/>
          <w:lang w:val="hr-HR"/>
        </w:rPr>
        <w:t>B3.3.10</w:t>
      </w:r>
      <w:r w:rsidRPr="00EB290C">
        <w:rPr>
          <w:lang w:val="hr-HR"/>
        </w:rPr>
        <w:tab/>
      </w:r>
      <w:r w:rsidR="00840D4B">
        <w:rPr>
          <w:u w:val="single"/>
          <w:lang w:val="hr-HR"/>
        </w:rPr>
        <w:t xml:space="preserve">Subjekat koji odabere primijeniti tačku </w:t>
      </w:r>
      <w:r w:rsidRPr="00EB290C">
        <w:rPr>
          <w:u w:val="single"/>
          <w:lang w:val="hr-HR"/>
        </w:rPr>
        <w:t>B3.3.8</w:t>
      </w:r>
      <w:r w:rsidR="002264C7">
        <w:rPr>
          <w:u w:val="single"/>
          <w:lang w:val="hr-HR"/>
        </w:rPr>
        <w:t>.</w:t>
      </w:r>
      <w:r w:rsidRPr="00EB290C">
        <w:rPr>
          <w:u w:val="single"/>
          <w:lang w:val="hr-HR"/>
        </w:rPr>
        <w:t xml:space="preserve"> </w:t>
      </w:r>
      <w:r w:rsidR="002264C7">
        <w:rPr>
          <w:u w:val="single"/>
          <w:lang w:val="hr-HR"/>
        </w:rPr>
        <w:t xml:space="preserve">na izmirenje </w:t>
      </w:r>
      <w:r w:rsidR="00840D4B">
        <w:rPr>
          <w:u w:val="single"/>
          <w:lang w:val="hr-HR"/>
        </w:rPr>
        <w:t>finansijsk</w:t>
      </w:r>
      <w:r w:rsidR="002264C7">
        <w:rPr>
          <w:u w:val="single"/>
          <w:lang w:val="hr-HR"/>
        </w:rPr>
        <w:t>e</w:t>
      </w:r>
      <w:r w:rsidR="00840D4B">
        <w:rPr>
          <w:u w:val="single"/>
          <w:lang w:val="hr-HR"/>
        </w:rPr>
        <w:t xml:space="preserve"> obavez</w:t>
      </w:r>
      <w:r w:rsidR="002264C7">
        <w:rPr>
          <w:u w:val="single"/>
          <w:lang w:val="hr-HR"/>
        </w:rPr>
        <w:t>e</w:t>
      </w:r>
      <w:r w:rsidR="00840D4B">
        <w:rPr>
          <w:u w:val="single"/>
          <w:lang w:val="hr-HR"/>
        </w:rPr>
        <w:t xml:space="preserve"> (ili dio finansijske obaveze) služeći </w:t>
      </w:r>
      <w:r w:rsidR="002264C7">
        <w:rPr>
          <w:u w:val="single"/>
          <w:lang w:val="hr-HR"/>
        </w:rPr>
        <w:t xml:space="preserve">se </w:t>
      </w:r>
      <w:r w:rsidR="00840D4B">
        <w:rPr>
          <w:u w:val="single"/>
          <w:lang w:val="hr-HR"/>
        </w:rPr>
        <w:t xml:space="preserve">elektronskim sistemom plaćanja mora tu tačku primjenjivati na sva izmirenja putem elektronskog sistema plaćanja. </w:t>
      </w:r>
    </w:p>
    <w:p w14:paraId="4C03BD6E" w14:textId="312A0C6B" w:rsidR="00F5158D" w:rsidRPr="00EB290C" w:rsidRDefault="009C5CE4">
      <w:pPr>
        <w:pStyle w:val="IASBSectionTitle1NonInd"/>
        <w:rPr>
          <w:lang w:val="hr-HR"/>
        </w:rPr>
      </w:pPr>
      <w:r>
        <w:rPr>
          <w:lang w:val="hr-HR"/>
        </w:rPr>
        <w:t xml:space="preserve">Klasifikacija </w:t>
      </w:r>
      <w:r w:rsidR="00B34096" w:rsidRPr="00EB290C">
        <w:rPr>
          <w:lang w:val="hr-HR"/>
        </w:rPr>
        <w:t>(</w:t>
      </w:r>
      <w:r>
        <w:rPr>
          <w:lang w:val="hr-HR"/>
        </w:rPr>
        <w:t>Poglavlje</w:t>
      </w:r>
      <w:r w:rsidR="00B34096" w:rsidRPr="00EB290C">
        <w:rPr>
          <w:lang w:val="hr-HR"/>
        </w:rPr>
        <w:t> 4)</w:t>
      </w:r>
    </w:p>
    <w:p w14:paraId="468715E1" w14:textId="35348A3E" w:rsidR="00F5158D" w:rsidRPr="00EB290C" w:rsidRDefault="009C5CE4">
      <w:pPr>
        <w:pStyle w:val="IASBSectionTitle2Ind"/>
        <w:rPr>
          <w:lang w:val="hr-HR"/>
        </w:rPr>
      </w:pPr>
      <w:r>
        <w:rPr>
          <w:lang w:val="hr-HR"/>
        </w:rPr>
        <w:t xml:space="preserve">Klasifikacija finansijske imovine </w:t>
      </w:r>
      <w:r w:rsidR="00B34096" w:rsidRPr="00EB290C">
        <w:rPr>
          <w:lang w:val="hr-HR"/>
        </w:rPr>
        <w:t>(</w:t>
      </w:r>
      <w:r w:rsidR="00840D4B">
        <w:rPr>
          <w:lang w:val="hr-HR"/>
        </w:rPr>
        <w:t>Odjeljak</w:t>
      </w:r>
      <w:r w:rsidR="00B34096" w:rsidRPr="00EB290C">
        <w:rPr>
          <w:lang w:val="hr-HR"/>
        </w:rPr>
        <w:t> 4.1)</w:t>
      </w:r>
    </w:p>
    <w:p w14:paraId="475F2850" w14:textId="77777777" w:rsidR="00F5158D" w:rsidRPr="00EB290C" w:rsidRDefault="00B34096">
      <w:pPr>
        <w:pStyle w:val="IASBNormalnpara"/>
        <w:rPr>
          <w:lang w:val="hr-HR"/>
        </w:rPr>
      </w:pPr>
      <w:r w:rsidRPr="00EB290C">
        <w:rPr>
          <w:lang w:val="hr-HR"/>
        </w:rPr>
        <w:tab/>
        <w:t>...</w:t>
      </w:r>
    </w:p>
    <w:p w14:paraId="289A5B28" w14:textId="5598147A" w:rsidR="00F5158D" w:rsidRPr="00EB290C" w:rsidRDefault="009C5CE4">
      <w:pPr>
        <w:pStyle w:val="IASBSectionTitle3Ind"/>
        <w:rPr>
          <w:lang w:val="hr-HR"/>
        </w:rPr>
      </w:pPr>
      <w:r>
        <w:rPr>
          <w:lang w:val="hr-HR"/>
        </w:rPr>
        <w:lastRenderedPageBreak/>
        <w:t xml:space="preserve">Ugovorni novčani tokovi koji </w:t>
      </w:r>
      <w:r w:rsidR="00FD3AEB">
        <w:rPr>
          <w:lang w:val="hr-HR"/>
        </w:rPr>
        <w:t xml:space="preserve">su samo plaćanje </w:t>
      </w:r>
      <w:r>
        <w:rPr>
          <w:lang w:val="hr-HR"/>
        </w:rPr>
        <w:t>glavnice i kamat</w:t>
      </w:r>
      <w:r w:rsidR="00FD3AEB">
        <w:rPr>
          <w:lang w:val="hr-HR"/>
        </w:rPr>
        <w:t>e</w:t>
      </w:r>
      <w:r>
        <w:rPr>
          <w:lang w:val="hr-HR"/>
        </w:rPr>
        <w:t xml:space="preserve"> na ne</w:t>
      </w:r>
      <w:r w:rsidR="00FD3AEB">
        <w:rPr>
          <w:lang w:val="hr-HR"/>
        </w:rPr>
        <w:t>podmireni</w:t>
      </w:r>
      <w:r>
        <w:rPr>
          <w:lang w:val="hr-HR"/>
        </w:rPr>
        <w:t xml:space="preserve"> iznos glavnice</w:t>
      </w:r>
    </w:p>
    <w:p w14:paraId="44A7DC0E" w14:textId="77777777" w:rsidR="00F5158D" w:rsidRPr="00EB290C" w:rsidRDefault="00B34096">
      <w:pPr>
        <w:pStyle w:val="IASBNormalnpara"/>
        <w:rPr>
          <w:lang w:val="hr-HR"/>
        </w:rPr>
      </w:pPr>
      <w:r w:rsidRPr="00EB290C">
        <w:rPr>
          <w:lang w:val="hr-HR"/>
        </w:rPr>
        <w:tab/>
        <w:t>...</w:t>
      </w:r>
    </w:p>
    <w:p w14:paraId="76B1ECB5" w14:textId="0581D15A" w:rsidR="00F5158D" w:rsidRPr="00EB290C" w:rsidRDefault="00B34096">
      <w:pPr>
        <w:pStyle w:val="IASBNormalnpara"/>
        <w:rPr>
          <w:lang w:val="hr-HR"/>
        </w:rPr>
      </w:pPr>
      <w:r w:rsidRPr="00EB290C">
        <w:rPr>
          <w:lang w:val="hr-HR"/>
        </w:rPr>
        <w:t>B4.1.7A</w:t>
      </w:r>
      <w:r w:rsidRPr="00EB290C">
        <w:rPr>
          <w:lang w:val="hr-HR"/>
        </w:rPr>
        <w:tab/>
      </w:r>
      <w:r w:rsidR="00FD3AEB">
        <w:rPr>
          <w:lang w:val="hr-HR"/>
        </w:rPr>
        <w:t xml:space="preserve">Ugovorni novčani tokovi koji </w:t>
      </w:r>
      <w:r w:rsidR="00626BC3">
        <w:rPr>
          <w:lang w:val="hr-HR"/>
        </w:rPr>
        <w:t>su</w:t>
      </w:r>
      <w:r w:rsidR="00FD3AEB">
        <w:rPr>
          <w:lang w:val="hr-HR"/>
        </w:rPr>
        <w:t xml:space="preserve"> samo plaćanja glavnice i kamate na ne</w:t>
      </w:r>
      <w:r w:rsidR="00626BC3">
        <w:rPr>
          <w:lang w:val="hr-HR"/>
        </w:rPr>
        <w:t>podmireni</w:t>
      </w:r>
      <w:r w:rsidR="00FD3AEB">
        <w:rPr>
          <w:lang w:val="hr-HR"/>
        </w:rPr>
        <w:t xml:space="preserve"> iznos glavnice su u skladu sa osnovnim sporazumom o pozajmljivanju. </w:t>
      </w:r>
      <w:r w:rsidR="00626BC3">
        <w:rPr>
          <w:lang w:val="hr-HR"/>
        </w:rPr>
        <w:t>U osnovnom sporazumu o pozajmljivanju</w:t>
      </w:r>
      <w:r w:rsidR="00E62876">
        <w:rPr>
          <w:lang w:val="hr-HR"/>
        </w:rPr>
        <w:t>,</w:t>
      </w:r>
      <w:r w:rsidR="00626BC3">
        <w:rPr>
          <w:lang w:val="hr-HR"/>
        </w:rPr>
        <w:t xml:space="preserve"> naknada za vremensku vrijednost novca </w:t>
      </w:r>
      <w:r w:rsidRPr="00EB290C">
        <w:rPr>
          <w:lang w:val="hr-HR"/>
        </w:rPr>
        <w:t>(</w:t>
      </w:r>
      <w:r w:rsidR="00626BC3">
        <w:rPr>
          <w:lang w:val="hr-HR"/>
        </w:rPr>
        <w:t>vidjeti tačke</w:t>
      </w:r>
      <w:r w:rsidRPr="00EB290C">
        <w:rPr>
          <w:lang w:val="hr-HR"/>
        </w:rPr>
        <w:t xml:space="preserve"> B4.1.9A</w:t>
      </w:r>
      <w:r w:rsidR="00626BC3">
        <w:rPr>
          <w:lang w:val="hr-HR"/>
        </w:rPr>
        <w:t>-</w:t>
      </w:r>
      <w:r w:rsidRPr="00EB290C">
        <w:rPr>
          <w:lang w:val="hr-HR"/>
        </w:rPr>
        <w:t xml:space="preserve">B4.1.9E) </w:t>
      </w:r>
      <w:r w:rsidR="00626BC3">
        <w:rPr>
          <w:lang w:val="hr-HR"/>
        </w:rPr>
        <w:t>i kreditni rizik su obično najznačajniji elementi kamate. Međutim, u ovakvom sporazumu kamata također može uključivati naknadu za druge osnovne rizike pozajmljivanja (primjerice, rizik likvidnosti) i troškove (primjerice</w:t>
      </w:r>
      <w:r w:rsidR="00E62876">
        <w:rPr>
          <w:lang w:val="hr-HR"/>
        </w:rPr>
        <w:t>,</w:t>
      </w:r>
      <w:r w:rsidR="00626BC3">
        <w:rPr>
          <w:lang w:val="hr-HR"/>
        </w:rPr>
        <w:t xml:space="preserve"> administrativne troškove) povezane sa držanjem finansijske imovine </w:t>
      </w:r>
      <w:r w:rsidR="00E62876">
        <w:rPr>
          <w:lang w:val="hr-HR"/>
        </w:rPr>
        <w:t>n</w:t>
      </w:r>
      <w:r w:rsidR="00626BC3">
        <w:rPr>
          <w:lang w:val="hr-HR"/>
        </w:rPr>
        <w:t>a određeni vremenski period. Nadalje, kamata može uključivati maržu profita koja je u skladu sa osnovnim sporazumom o pozajmljivanju. U ekstremnim gospodarskim okolnostima</w:t>
      </w:r>
      <w:r w:rsidR="00E62876">
        <w:rPr>
          <w:lang w:val="hr-HR"/>
        </w:rPr>
        <w:t>,</w:t>
      </w:r>
      <w:r w:rsidR="00626BC3">
        <w:rPr>
          <w:lang w:val="hr-HR"/>
        </w:rPr>
        <w:t xml:space="preserve"> kamata može biti negativna ako, primjerice, imatelj finansijske imovine eksplicitno ili implicitno plaća polog za svoj novac za određeni vremenski period (i ta naknada prelazi naknadu koju imatelj prima za vremensku vrijednost novca, kreditni rizik i druge osnovne rizike pozajmljivanja i troškove</w:t>
      </w:r>
      <w:r w:rsidRPr="00EB290C">
        <w:rPr>
          <w:lang w:val="hr-HR"/>
        </w:rPr>
        <w:t xml:space="preserve">). </w:t>
      </w:r>
      <w:r w:rsidR="00626BC3">
        <w:rPr>
          <w:lang w:val="hr-HR"/>
        </w:rPr>
        <w:t xml:space="preserve">Međutim, ugovorni uvjeti kojima se uvodi izloženost rizicima ili promjenjivost ugovornih novčanih tokova koji nisu povezani sa osnovnim sporazumom o pozajmljivanju, kao što je izloženost promjenama u cijenama kapitala ili cijenama roba, nemaju za posljedicu ugovorne novčane tokove koji su samo plaćanja glavnice i kamate na nepodmireni iznos glavnice. Stvorena ili kupljena finansijska imovina može biti osnovni sporazum o pozajmljivanju bez obzira je li riječ o zajmu u njegovom pravnom obliku. </w:t>
      </w:r>
    </w:p>
    <w:p w14:paraId="22D2E3FA" w14:textId="77777777" w:rsidR="00F5158D" w:rsidRPr="00EB290C" w:rsidRDefault="00B34096">
      <w:pPr>
        <w:pStyle w:val="IASBNormalnpara"/>
        <w:rPr>
          <w:lang w:val="hr-HR"/>
        </w:rPr>
      </w:pPr>
      <w:r w:rsidRPr="00EB290C">
        <w:rPr>
          <w:lang w:val="hr-HR"/>
        </w:rPr>
        <w:tab/>
        <w:t>...</w:t>
      </w:r>
    </w:p>
    <w:p w14:paraId="0F80A9FE" w14:textId="795CE89D" w:rsidR="00F5158D" w:rsidRPr="00EB290C" w:rsidRDefault="00B34096">
      <w:pPr>
        <w:pStyle w:val="IASBNormalnpara"/>
        <w:rPr>
          <w:lang w:val="hr-HR"/>
        </w:rPr>
      </w:pPr>
      <w:r w:rsidRPr="00EB290C">
        <w:rPr>
          <w:u w:val="single"/>
          <w:lang w:val="hr-HR"/>
        </w:rPr>
        <w:t>B4.1.8A</w:t>
      </w:r>
      <w:r w:rsidRPr="00EB290C">
        <w:rPr>
          <w:lang w:val="hr-HR"/>
        </w:rPr>
        <w:tab/>
      </w:r>
      <w:r w:rsidR="00626BC3">
        <w:rPr>
          <w:u w:val="single"/>
          <w:lang w:val="hr-HR"/>
        </w:rPr>
        <w:t xml:space="preserve">Prilikom ocjenjivanja jesu li ugovorni novčani tokovi u skladu sa osnovnim sporazumom o pozajmljivanju, subjekt će možda morati zasebno razmatrati različite elemente kamate. Ocjena kamate je usmjerena na to </w:t>
      </w:r>
      <w:r w:rsidR="00626BC3">
        <w:rPr>
          <w:i/>
          <w:u w:val="single"/>
          <w:lang w:val="hr-HR"/>
        </w:rPr>
        <w:t>za šta</w:t>
      </w:r>
      <w:r w:rsidRPr="00EB290C">
        <w:rPr>
          <w:u w:val="single"/>
          <w:lang w:val="hr-HR"/>
        </w:rPr>
        <w:t xml:space="preserve"> </w:t>
      </w:r>
      <w:r w:rsidR="00626BC3">
        <w:rPr>
          <w:u w:val="single"/>
          <w:lang w:val="hr-HR"/>
        </w:rPr>
        <w:t xml:space="preserve">se subjekt kompenzira a ne na to </w:t>
      </w:r>
      <w:r w:rsidR="00626BC3">
        <w:rPr>
          <w:i/>
          <w:u w:val="single"/>
          <w:lang w:val="hr-HR"/>
        </w:rPr>
        <w:t>koliku</w:t>
      </w:r>
      <w:r w:rsidRPr="00EB290C">
        <w:rPr>
          <w:u w:val="single"/>
          <w:lang w:val="hr-HR"/>
        </w:rPr>
        <w:t xml:space="preserve"> </w:t>
      </w:r>
      <w:r w:rsidR="004154A1">
        <w:rPr>
          <w:u w:val="single"/>
          <w:lang w:val="hr-HR"/>
        </w:rPr>
        <w:t>naknadu</w:t>
      </w:r>
      <w:r w:rsidR="00626BC3">
        <w:rPr>
          <w:u w:val="single"/>
          <w:lang w:val="hr-HR"/>
        </w:rPr>
        <w:t xml:space="preserve"> prima. </w:t>
      </w:r>
      <w:r w:rsidR="004154A1">
        <w:rPr>
          <w:u w:val="single"/>
          <w:lang w:val="hr-HR"/>
        </w:rPr>
        <w:t xml:space="preserve">Ipak, visina naknade koju subjekt prima može ukazivati na to da se on kompenzira za nešto što nisu osnovni rizici </w:t>
      </w:r>
      <w:r w:rsidR="00E62876">
        <w:rPr>
          <w:u w:val="single"/>
          <w:lang w:val="hr-HR"/>
        </w:rPr>
        <w:t xml:space="preserve">pozajmljivanja </w:t>
      </w:r>
      <w:r w:rsidR="004154A1">
        <w:rPr>
          <w:u w:val="single"/>
          <w:lang w:val="hr-HR"/>
        </w:rPr>
        <w:t xml:space="preserve">i troškovi. Ugovorni novčani tokovi nisu u skladu sa osnovnim sporazumom o pozajmljivanju ako </w:t>
      </w:r>
      <w:r w:rsidR="007D3980">
        <w:rPr>
          <w:u w:val="single"/>
          <w:lang w:val="hr-HR"/>
        </w:rPr>
        <w:t>su indeksirani prema varijabli koja nije osnovni rizik</w:t>
      </w:r>
      <w:r w:rsidR="00E62876">
        <w:rPr>
          <w:u w:val="single"/>
          <w:lang w:val="hr-HR"/>
        </w:rPr>
        <w:t xml:space="preserve"> pozajmljivanja</w:t>
      </w:r>
      <w:r w:rsidR="007D3980">
        <w:rPr>
          <w:u w:val="single"/>
          <w:lang w:val="hr-HR"/>
        </w:rPr>
        <w:t xml:space="preserve"> ili trošak (poput vrijednosti vlasničkih instrumenata ili cijene robe</w:t>
      </w:r>
      <w:r w:rsidRPr="00EB290C">
        <w:rPr>
          <w:u w:val="single"/>
          <w:lang w:val="hr-HR"/>
        </w:rPr>
        <w:t>)</w:t>
      </w:r>
      <w:r w:rsidR="007D3980">
        <w:rPr>
          <w:u w:val="single"/>
          <w:lang w:val="hr-HR"/>
        </w:rPr>
        <w:t>, odnosno ako predstavljaju</w:t>
      </w:r>
      <w:r w:rsidR="004D4775">
        <w:rPr>
          <w:u w:val="single"/>
          <w:lang w:val="hr-HR"/>
        </w:rPr>
        <w:t xml:space="preserve"> udio u prihodu ili dobiti dužnika, čak i kada su </w:t>
      </w:r>
      <w:r w:rsidR="00E62876">
        <w:rPr>
          <w:u w:val="single"/>
          <w:lang w:val="hr-HR"/>
        </w:rPr>
        <w:t>dani</w:t>
      </w:r>
      <w:r w:rsidR="004D4775">
        <w:rPr>
          <w:u w:val="single"/>
          <w:lang w:val="hr-HR"/>
        </w:rPr>
        <w:t xml:space="preserve"> ugovorni uvjeti uobičajeni na tržištu na kojem subjekt posluje</w:t>
      </w:r>
      <w:r w:rsidRPr="00EB290C">
        <w:rPr>
          <w:u w:val="single"/>
          <w:lang w:val="hr-HR"/>
        </w:rPr>
        <w:t>.</w:t>
      </w:r>
    </w:p>
    <w:p w14:paraId="56062347" w14:textId="77777777" w:rsidR="00F5158D" w:rsidRPr="00EB290C" w:rsidRDefault="00B34096">
      <w:pPr>
        <w:pStyle w:val="IASBNormalnpara"/>
        <w:rPr>
          <w:lang w:val="hr-HR"/>
        </w:rPr>
      </w:pPr>
      <w:r w:rsidRPr="00EB290C">
        <w:rPr>
          <w:lang w:val="hr-HR"/>
        </w:rPr>
        <w:tab/>
        <w:t>...</w:t>
      </w:r>
    </w:p>
    <w:p w14:paraId="448448DD" w14:textId="6E3D4359" w:rsidR="00F5158D" w:rsidRPr="00EB290C" w:rsidRDefault="004D4775">
      <w:pPr>
        <w:pStyle w:val="IASBSectionTitle4Ind"/>
        <w:rPr>
          <w:lang w:val="hr-HR"/>
        </w:rPr>
      </w:pPr>
      <w:r>
        <w:rPr>
          <w:lang w:val="hr-HR"/>
        </w:rPr>
        <w:t>Ugovorni uvjeti koji mijenjaju vrijeme nastanka ili iznos ugovornih novčanih tokova</w:t>
      </w:r>
    </w:p>
    <w:p w14:paraId="21EC199C" w14:textId="32369618" w:rsidR="00F5158D" w:rsidRPr="00EB290C" w:rsidRDefault="00B34096">
      <w:pPr>
        <w:pStyle w:val="IASBNormalnpara"/>
        <w:rPr>
          <w:lang w:val="hr-HR"/>
        </w:rPr>
      </w:pPr>
      <w:r w:rsidRPr="00EB290C">
        <w:rPr>
          <w:lang w:val="hr-HR"/>
        </w:rPr>
        <w:t>B4.1.10</w:t>
      </w:r>
      <w:r w:rsidRPr="00EB290C">
        <w:rPr>
          <w:lang w:val="hr-HR"/>
        </w:rPr>
        <w:tab/>
      </w:r>
      <w:r w:rsidR="00EE468E">
        <w:rPr>
          <w:lang w:val="hr-HR"/>
        </w:rPr>
        <w:t>Ako finansijska imovina sadrži ugovorne uvjete koji mogu promijeniti vrijeme nastanka ili iznos ugovornih novčanih tokova (primjerice, ako se imovina može unaprijed otplatiti prije roka dospijeća ili ako joj se rok može produljiti), subjekt treba odrediti jesu li ugovorni novčani tokovi koji bi mogli nastati tijekom vremena trajanja instrumenta kao posljedica tog ugovornog uvjeta samo plaćanja glavnice i kamate na nepodmireni iznos glavnice. Kako bi to odredio</w:t>
      </w:r>
      <w:r w:rsidR="00387519">
        <w:rPr>
          <w:lang w:val="hr-HR"/>
        </w:rPr>
        <w:t>,</w:t>
      </w:r>
      <w:r w:rsidR="00EE468E">
        <w:rPr>
          <w:lang w:val="hr-HR"/>
        </w:rPr>
        <w:t xml:space="preserve"> subjekt treba procijeniti ugovorne novčane tokove koj</w:t>
      </w:r>
      <w:r w:rsidR="000325AE">
        <w:rPr>
          <w:lang w:val="hr-HR"/>
        </w:rPr>
        <w:t>i</w:t>
      </w:r>
      <w:r w:rsidR="00EE468E">
        <w:rPr>
          <w:lang w:val="hr-HR"/>
        </w:rPr>
        <w:t xml:space="preserve"> mogu nastati prije ili poslije promjene ugo</w:t>
      </w:r>
      <w:r w:rsidR="000325AE">
        <w:rPr>
          <w:lang w:val="hr-HR"/>
        </w:rPr>
        <w:t>v</w:t>
      </w:r>
      <w:r w:rsidR="00EE468E">
        <w:rPr>
          <w:lang w:val="hr-HR"/>
        </w:rPr>
        <w:t>ornih novčanih tokova</w:t>
      </w:r>
      <w:r w:rsidR="008C20A2" w:rsidRPr="008C20A2">
        <w:rPr>
          <w:strike/>
          <w:lang w:val="hr-HR"/>
        </w:rPr>
        <w:t xml:space="preserve">, </w:t>
      </w:r>
      <w:r w:rsidR="008C20A2" w:rsidRPr="008C20A2">
        <w:rPr>
          <w:u w:val="single"/>
          <w:lang w:val="hr-HR"/>
        </w:rPr>
        <w:t>bez obzira na mogućnost nastanka promjene u ugovornim novčanim tokovima</w:t>
      </w:r>
      <w:r w:rsidR="00EE468E">
        <w:rPr>
          <w:lang w:val="hr-HR"/>
        </w:rPr>
        <w:t>. Subjekt će također trebati procijeniti prirodu svakog nepredviđenog događaja (tj. okidača) koji bi promijenio vrijeme nastanka ili iznos ugovornih novčanih tokova. Dok vrsta nepredviđenog događaja sam</w:t>
      </w:r>
      <w:r w:rsidR="00387519">
        <w:rPr>
          <w:lang w:val="hr-HR"/>
        </w:rPr>
        <w:t>a</w:t>
      </w:r>
      <w:r w:rsidR="00EE468E">
        <w:rPr>
          <w:lang w:val="hr-HR"/>
        </w:rPr>
        <w:t xml:space="preserve"> po sebi nije određujući faktor u procjeni jesu li ugovorni novčani tokovi samo plaćanje glavnice i kamate, može biti pokazatelj istog. Primjerice, usporedimo finansijski instrument sa kamatnom stopom koja se usklađuje sa višom stopom ako</w:t>
      </w:r>
      <w:r w:rsidR="0095491D">
        <w:rPr>
          <w:lang w:val="hr-HR"/>
        </w:rPr>
        <w:t xml:space="preserve"> dužnik ne izvrši određeni broj plaćanja za finansijski instrument sa kamatno</w:t>
      </w:r>
      <w:r w:rsidR="00387519">
        <w:rPr>
          <w:lang w:val="hr-HR"/>
        </w:rPr>
        <w:t>m</w:t>
      </w:r>
      <w:r w:rsidR="0095491D">
        <w:rPr>
          <w:lang w:val="hr-HR"/>
        </w:rPr>
        <w:t xml:space="preserve"> stopom koja </w:t>
      </w:r>
      <w:r w:rsidR="00387519">
        <w:rPr>
          <w:lang w:val="hr-HR"/>
        </w:rPr>
        <w:t>se</w:t>
      </w:r>
      <w:r w:rsidR="0095491D">
        <w:rPr>
          <w:lang w:val="hr-HR"/>
        </w:rPr>
        <w:t xml:space="preserve"> usklađ</w:t>
      </w:r>
      <w:r w:rsidR="00387519">
        <w:rPr>
          <w:lang w:val="hr-HR"/>
        </w:rPr>
        <w:t>uje</w:t>
      </w:r>
      <w:r w:rsidR="0095491D">
        <w:rPr>
          <w:lang w:val="hr-HR"/>
        </w:rPr>
        <w:t xml:space="preserve"> sa višom stopom ako indeks kapitala dosegne određenu razinu. Vjerovatnije je u prethodnom slučaju da će ugovorni novčani tokovi tijekom vremena trajanja instrumenta biti samo plaćanja glavnice i kamate na nepodmireni iznos glavnice zbog veze između propuštenih plaćanja i povećanja kreditnog rizika</w:t>
      </w:r>
      <w:r w:rsidRPr="00EB290C">
        <w:rPr>
          <w:lang w:val="hr-HR"/>
        </w:rPr>
        <w:t>.</w:t>
      </w:r>
      <w:r w:rsidRPr="00EB290C">
        <w:rPr>
          <w:u w:val="single"/>
          <w:lang w:val="hr-HR"/>
        </w:rPr>
        <w:t xml:space="preserve"> </w:t>
      </w:r>
      <w:r w:rsidR="0095491D">
        <w:rPr>
          <w:u w:val="single"/>
          <w:lang w:val="hr-HR"/>
        </w:rPr>
        <w:t xml:space="preserve">U prvom slučaju, priroda zavisnog događaja je </w:t>
      </w:r>
      <w:r w:rsidR="00387519">
        <w:rPr>
          <w:u w:val="single"/>
          <w:lang w:val="hr-HR"/>
        </w:rPr>
        <w:t>izravno</w:t>
      </w:r>
      <w:r w:rsidR="0095491D">
        <w:rPr>
          <w:u w:val="single"/>
          <w:lang w:val="hr-HR"/>
        </w:rPr>
        <w:t xml:space="preserve"> povezana i ugovorni novčani tokovi se kreću u istom pravcu kao i izmjene osnovnih rizika </w:t>
      </w:r>
      <w:r w:rsidR="00387519">
        <w:rPr>
          <w:u w:val="single"/>
          <w:lang w:val="hr-HR"/>
        </w:rPr>
        <w:t xml:space="preserve">pozajmljivanja </w:t>
      </w:r>
      <w:r w:rsidR="0095491D">
        <w:rPr>
          <w:u w:val="single"/>
          <w:lang w:val="hr-HR"/>
        </w:rPr>
        <w:t>i troškova</w:t>
      </w:r>
      <w:r w:rsidRPr="00EB290C">
        <w:rPr>
          <w:u w:val="single"/>
          <w:lang w:val="hr-HR"/>
        </w:rPr>
        <w:t>.</w:t>
      </w:r>
      <w:r w:rsidRPr="00EB290C">
        <w:rPr>
          <w:lang w:val="hr-HR"/>
        </w:rPr>
        <w:t xml:space="preserve"> (</w:t>
      </w:r>
      <w:r w:rsidR="0095491D">
        <w:rPr>
          <w:lang w:val="hr-HR"/>
        </w:rPr>
        <w:t xml:space="preserve">Vidjeti također tačku </w:t>
      </w:r>
      <w:r w:rsidRPr="00EB290C">
        <w:rPr>
          <w:lang w:val="hr-HR"/>
        </w:rPr>
        <w:t>B4.1.18.)</w:t>
      </w:r>
    </w:p>
    <w:p w14:paraId="799F288C" w14:textId="7FA6B91D" w:rsidR="00F5158D" w:rsidRPr="00EB290C" w:rsidRDefault="00B34096">
      <w:pPr>
        <w:pStyle w:val="IASBNormalnpara"/>
        <w:rPr>
          <w:lang w:val="hr-HR"/>
        </w:rPr>
      </w:pPr>
      <w:r w:rsidRPr="00EB290C">
        <w:rPr>
          <w:u w:val="single"/>
          <w:lang w:val="hr-HR"/>
        </w:rPr>
        <w:t>B4.1.10A</w:t>
      </w:r>
      <w:r w:rsidRPr="00EB290C">
        <w:rPr>
          <w:lang w:val="hr-HR"/>
        </w:rPr>
        <w:tab/>
      </w:r>
      <w:r w:rsidR="00F70B6A">
        <w:rPr>
          <w:u w:val="single"/>
          <w:lang w:val="hr-HR"/>
        </w:rPr>
        <w:t xml:space="preserve">U određenim slučajevima, iz </w:t>
      </w:r>
      <w:r w:rsidR="005154BA">
        <w:rPr>
          <w:u w:val="single"/>
          <w:lang w:val="hr-HR"/>
        </w:rPr>
        <w:t>nepredviđenog</w:t>
      </w:r>
      <w:r w:rsidR="004221C7">
        <w:rPr>
          <w:u w:val="single"/>
          <w:lang w:val="hr-HR"/>
        </w:rPr>
        <w:t xml:space="preserve"> </w:t>
      </w:r>
      <w:r w:rsidR="00F70B6A">
        <w:rPr>
          <w:u w:val="single"/>
          <w:lang w:val="hr-HR"/>
        </w:rPr>
        <w:t xml:space="preserve">obilježja proističu ugovorni novčani tokovi koji su u skladu sa osnovnim sporazumom o pozajmljivanju i prije i nakon promjene ugovornih novčanih tokova, ali priroda samog </w:t>
      </w:r>
      <w:r w:rsidR="005154BA">
        <w:rPr>
          <w:u w:val="single"/>
          <w:lang w:val="hr-HR"/>
        </w:rPr>
        <w:t>nepredviđenog</w:t>
      </w:r>
      <w:r w:rsidR="00F70B6A">
        <w:rPr>
          <w:u w:val="single"/>
          <w:lang w:val="hr-HR"/>
        </w:rPr>
        <w:t xml:space="preserve"> događaja nije izravno povezana sa promjenama osnovnih rizika </w:t>
      </w:r>
      <w:r w:rsidR="004221C7">
        <w:rPr>
          <w:u w:val="single"/>
          <w:lang w:val="hr-HR"/>
        </w:rPr>
        <w:t xml:space="preserve">pozajmljivanja </w:t>
      </w:r>
      <w:r w:rsidR="00F70B6A">
        <w:rPr>
          <w:u w:val="single"/>
          <w:lang w:val="hr-HR"/>
        </w:rPr>
        <w:t xml:space="preserve">i troškova. </w:t>
      </w:r>
      <w:r w:rsidR="00C026B7">
        <w:rPr>
          <w:u w:val="single"/>
          <w:lang w:val="hr-HR"/>
        </w:rPr>
        <w:t>Primjerice, kamatna stopa na zajam se usklađuje prema naznačenom iznosu ako dužnik ostvari ugovorno propisano smanjenje emisij</w:t>
      </w:r>
      <w:r w:rsidR="0026304C">
        <w:rPr>
          <w:u w:val="single"/>
          <w:lang w:val="hr-HR"/>
        </w:rPr>
        <w:t>a</w:t>
      </w:r>
      <w:r w:rsidR="00C026B7">
        <w:rPr>
          <w:u w:val="single"/>
          <w:lang w:val="hr-HR"/>
        </w:rPr>
        <w:t xml:space="preserve"> uglj</w:t>
      </w:r>
      <w:r w:rsidR="00872438">
        <w:rPr>
          <w:u w:val="single"/>
          <w:lang w:val="hr-HR"/>
        </w:rPr>
        <w:t>ika.</w:t>
      </w:r>
      <w:r w:rsidR="00C026B7">
        <w:rPr>
          <w:u w:val="single"/>
          <w:lang w:val="hr-HR"/>
        </w:rPr>
        <w:t xml:space="preserve"> U takvom slučaju, </w:t>
      </w:r>
      <w:r w:rsidR="00652167">
        <w:rPr>
          <w:u w:val="single"/>
          <w:lang w:val="hr-HR"/>
        </w:rPr>
        <w:t xml:space="preserve">kod primjene tačke </w:t>
      </w:r>
      <w:r w:rsidRPr="00EB290C">
        <w:rPr>
          <w:u w:val="single"/>
          <w:lang w:val="hr-HR"/>
        </w:rPr>
        <w:t xml:space="preserve">B4.1.10, </w:t>
      </w:r>
      <w:r w:rsidR="00652167">
        <w:rPr>
          <w:u w:val="single"/>
          <w:lang w:val="hr-HR"/>
        </w:rPr>
        <w:t xml:space="preserve">finansijska imovina ima ugovorne novčane tokove koji su samo plaćanja </w:t>
      </w:r>
      <w:r w:rsidR="00F50624">
        <w:rPr>
          <w:u w:val="single"/>
          <w:lang w:val="hr-HR"/>
        </w:rPr>
        <w:t>glavnice</w:t>
      </w:r>
      <w:r w:rsidR="00652167">
        <w:rPr>
          <w:u w:val="single"/>
          <w:lang w:val="hr-HR"/>
        </w:rPr>
        <w:t xml:space="preserve"> i kamate na </w:t>
      </w:r>
      <w:r w:rsidR="0026304C">
        <w:rPr>
          <w:u w:val="single"/>
          <w:lang w:val="hr-HR"/>
        </w:rPr>
        <w:t>ne</w:t>
      </w:r>
      <w:r w:rsidR="00652167">
        <w:rPr>
          <w:u w:val="single"/>
          <w:lang w:val="hr-HR"/>
        </w:rPr>
        <w:t xml:space="preserve">podmireni iznos </w:t>
      </w:r>
      <w:r w:rsidR="00F50624">
        <w:rPr>
          <w:u w:val="single"/>
          <w:lang w:val="hr-HR"/>
        </w:rPr>
        <w:t>glavnice</w:t>
      </w:r>
      <w:r w:rsidR="00652167">
        <w:rPr>
          <w:u w:val="single"/>
          <w:lang w:val="hr-HR"/>
        </w:rPr>
        <w:t xml:space="preserve"> onda i samo onda kada se, u svim scenarijima koji su mogući u odnosu na dani ugovor, </w:t>
      </w:r>
      <w:r w:rsidR="0026304C">
        <w:rPr>
          <w:u w:val="single"/>
          <w:lang w:val="hr-HR"/>
        </w:rPr>
        <w:t xml:space="preserve">ti </w:t>
      </w:r>
      <w:r w:rsidR="00652167">
        <w:rPr>
          <w:u w:val="single"/>
          <w:lang w:val="hr-HR"/>
        </w:rPr>
        <w:t xml:space="preserve">ugovorni novčani tokovi značajno razlikuju od ugovornih novčanih tokova od nekog finansijskog instrumenta koji ima identične ugovorne uvjete, ali nema </w:t>
      </w:r>
      <w:r w:rsidR="0026304C">
        <w:rPr>
          <w:u w:val="single"/>
          <w:lang w:val="hr-HR"/>
        </w:rPr>
        <w:t xml:space="preserve">takvo </w:t>
      </w:r>
      <w:r w:rsidR="005154BA">
        <w:rPr>
          <w:u w:val="single"/>
          <w:lang w:val="hr-HR"/>
        </w:rPr>
        <w:t xml:space="preserve">nepredviđeno </w:t>
      </w:r>
      <w:r w:rsidR="00652167">
        <w:rPr>
          <w:u w:val="single"/>
          <w:lang w:val="hr-HR"/>
        </w:rPr>
        <w:t xml:space="preserve">obilježje. U određenim okolnostima, subjekt bi to mogao utvrditi kroz kvalitativnu procjenu, dok se u drugima može pokazati neophodnim da provede </w:t>
      </w:r>
      <w:r w:rsidR="00652167">
        <w:rPr>
          <w:u w:val="single"/>
          <w:lang w:val="hr-HR"/>
        </w:rPr>
        <w:lastRenderedPageBreak/>
        <w:t xml:space="preserve">kvantitativnu procjenu. Kada je, na osnovu ograničene ili </w:t>
      </w:r>
      <w:r w:rsidR="0026304C">
        <w:rPr>
          <w:u w:val="single"/>
          <w:lang w:val="hr-HR"/>
        </w:rPr>
        <w:t>bez</w:t>
      </w:r>
      <w:r w:rsidR="00652167">
        <w:rPr>
          <w:u w:val="single"/>
          <w:lang w:val="hr-HR"/>
        </w:rPr>
        <w:t xml:space="preserve"> </w:t>
      </w:r>
      <w:r w:rsidR="0026304C">
        <w:rPr>
          <w:u w:val="single"/>
          <w:lang w:val="hr-HR"/>
        </w:rPr>
        <w:t xml:space="preserve">ikakve </w:t>
      </w:r>
      <w:r w:rsidR="00652167">
        <w:rPr>
          <w:u w:val="single"/>
          <w:lang w:val="hr-HR"/>
        </w:rPr>
        <w:t>analize, očito da ugovorni novčani tokovi nisu značajno drugačiji, subjekt ne mora vršiti detaljnu procjenu</w:t>
      </w:r>
      <w:r w:rsidRPr="00EB290C">
        <w:rPr>
          <w:u w:val="single"/>
          <w:lang w:val="hr-HR"/>
        </w:rPr>
        <w:t>.</w:t>
      </w:r>
    </w:p>
    <w:p w14:paraId="69E36982" w14:textId="77777777" w:rsidR="00F5158D" w:rsidRPr="00EB290C" w:rsidRDefault="00B34096">
      <w:pPr>
        <w:pStyle w:val="IASBNormalnpara"/>
        <w:rPr>
          <w:lang w:val="hr-HR"/>
        </w:rPr>
      </w:pPr>
      <w:r w:rsidRPr="00EB290C">
        <w:rPr>
          <w:lang w:val="hr-HR"/>
        </w:rPr>
        <w:tab/>
        <w:t>...</w:t>
      </w:r>
    </w:p>
    <w:p w14:paraId="54539ABC" w14:textId="74E73961" w:rsidR="00F5158D" w:rsidRPr="00EB290C" w:rsidRDefault="00B34096">
      <w:pPr>
        <w:pStyle w:val="IASBNormalnpara"/>
        <w:rPr>
          <w:lang w:val="hr-HR"/>
        </w:rPr>
      </w:pPr>
      <w:r w:rsidRPr="00EB290C">
        <w:rPr>
          <w:lang w:val="hr-HR"/>
        </w:rPr>
        <w:t>B4.1.13</w:t>
      </w:r>
      <w:r w:rsidRPr="00EB290C">
        <w:rPr>
          <w:lang w:val="hr-HR"/>
        </w:rPr>
        <w:tab/>
      </w:r>
      <w:r w:rsidR="00652167">
        <w:rPr>
          <w:lang w:val="hr-HR"/>
        </w:rPr>
        <w:t>Sl</w:t>
      </w:r>
      <w:r w:rsidR="00F7759F">
        <w:rPr>
          <w:lang w:val="hr-HR"/>
        </w:rPr>
        <w:t xml:space="preserve">ijede primjeri kojima se prikazuju slučajevi ugovornih novčanih tokova koji su samo plaćanje glavnice i kamate na nepodmirenu glavnicu. Popis primjera nije iscrpan. </w:t>
      </w:r>
    </w:p>
    <w:p w14:paraId="2663F777" w14:textId="77777777" w:rsidR="00F5158D" w:rsidRPr="00EB290C" w:rsidRDefault="00B34096">
      <w:pPr>
        <w:pStyle w:val="IASBNormalnpara"/>
        <w:rPr>
          <w:lang w:val="hr-HR"/>
        </w:rPr>
      </w:pPr>
      <w:r w:rsidRPr="00EB290C">
        <w:rPr>
          <w:lang w:val="hr-HR"/>
        </w:rPr>
        <w:tab/>
      </w:r>
    </w:p>
    <w:tbl>
      <w:tblPr>
        <w:tblW w:w="0" w:type="auto"/>
        <w:tblInd w:w="864" w:type="dxa"/>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4075"/>
        <w:gridCol w:w="4076"/>
      </w:tblGrid>
      <w:tr w:rsidR="00F5158D" w:rsidRPr="00EB290C" w14:paraId="3B269A76" w14:textId="77777777">
        <w:trPr>
          <w:tblHeader/>
        </w:trPr>
        <w:tc>
          <w:tcPr>
            <w:tcW w:w="2500" w:type="pct"/>
            <w:tcBorders>
              <w:bottom w:val="single" w:sz="0" w:space="0" w:color="auto"/>
              <w:right w:val="single" w:sz="0" w:space="0" w:color="auto"/>
            </w:tcBorders>
          </w:tcPr>
          <w:p w14:paraId="6419498C" w14:textId="77777777" w:rsidR="00F5158D" w:rsidRPr="00EB290C" w:rsidRDefault="00B34096">
            <w:pPr>
              <w:pStyle w:val="IASBTableHeaderArial"/>
              <w:rPr>
                <w:lang w:val="hr-HR"/>
              </w:rPr>
            </w:pPr>
            <w:r w:rsidRPr="00EB290C">
              <w:rPr>
                <w:lang w:val="hr-HR"/>
              </w:rPr>
              <w:t>Instrument</w:t>
            </w:r>
          </w:p>
        </w:tc>
        <w:tc>
          <w:tcPr>
            <w:tcW w:w="2500" w:type="pct"/>
            <w:tcBorders>
              <w:bottom w:val="single" w:sz="0" w:space="0" w:color="auto"/>
              <w:right w:val="single" w:sz="0" w:space="0" w:color="auto"/>
            </w:tcBorders>
          </w:tcPr>
          <w:p w14:paraId="39277E57" w14:textId="0FEE2EA1" w:rsidR="00F5158D" w:rsidRPr="00EB290C" w:rsidRDefault="00B34096">
            <w:pPr>
              <w:pStyle w:val="IASBTableHeaderArial"/>
              <w:rPr>
                <w:lang w:val="hr-HR"/>
              </w:rPr>
            </w:pPr>
            <w:r w:rsidRPr="00EB290C">
              <w:rPr>
                <w:lang w:val="hr-HR"/>
              </w:rPr>
              <w:t>Anal</w:t>
            </w:r>
            <w:r w:rsidR="00F7759F">
              <w:rPr>
                <w:lang w:val="hr-HR"/>
              </w:rPr>
              <w:t>iza</w:t>
            </w:r>
          </w:p>
        </w:tc>
      </w:tr>
      <w:tr w:rsidR="00F5158D" w:rsidRPr="00EB290C" w14:paraId="40490255" w14:textId="77777777">
        <w:tc>
          <w:tcPr>
            <w:tcW w:w="2500" w:type="pct"/>
            <w:tcBorders>
              <w:right w:val="single" w:sz="0" w:space="0" w:color="auto"/>
            </w:tcBorders>
          </w:tcPr>
          <w:p w14:paraId="530065F3" w14:textId="77777777" w:rsidR="00F5158D" w:rsidRPr="00EB290C" w:rsidRDefault="00B34096">
            <w:pPr>
              <w:pStyle w:val="IASBTableNormal"/>
              <w:rPr>
                <w:lang w:val="hr-HR"/>
              </w:rPr>
            </w:pPr>
            <w:r w:rsidRPr="00EB290C">
              <w:rPr>
                <w:lang w:val="hr-HR"/>
              </w:rPr>
              <w:t>...</w:t>
            </w:r>
          </w:p>
          <w:p w14:paraId="51540740" w14:textId="77777777" w:rsidR="00F5158D" w:rsidRPr="00EB290C" w:rsidRDefault="00B34096">
            <w:pPr>
              <w:pStyle w:val="IASBTableArial"/>
              <w:rPr>
                <w:lang w:val="hr-HR"/>
              </w:rPr>
            </w:pPr>
            <w:r w:rsidRPr="00EB290C">
              <w:rPr>
                <w:b/>
                <w:u w:val="single"/>
                <w:lang w:val="hr-HR"/>
              </w:rPr>
              <w:t>Instrument EA</w:t>
            </w:r>
          </w:p>
          <w:p w14:paraId="1FA6F247" w14:textId="6EAE0DC6" w:rsidR="00F5158D" w:rsidRPr="00EB290C" w:rsidRDefault="00B34096">
            <w:pPr>
              <w:pStyle w:val="IASBTableNormal"/>
              <w:rPr>
                <w:lang w:val="hr-HR"/>
              </w:rPr>
            </w:pPr>
            <w:r w:rsidRPr="00EB290C">
              <w:rPr>
                <w:u w:val="single"/>
                <w:lang w:val="hr-HR"/>
              </w:rPr>
              <w:t xml:space="preserve">Instrument EA </w:t>
            </w:r>
            <w:r w:rsidR="00F7759F">
              <w:rPr>
                <w:u w:val="single"/>
                <w:lang w:val="hr-HR"/>
              </w:rPr>
              <w:t xml:space="preserve">je zajam čija kamatna stopa se svakog izvještajnog perioda usklađuje </w:t>
            </w:r>
            <w:r w:rsidR="0026304C">
              <w:rPr>
                <w:u w:val="single"/>
                <w:lang w:val="hr-HR"/>
              </w:rPr>
              <w:t>za</w:t>
            </w:r>
            <w:r w:rsidR="00F7759F">
              <w:rPr>
                <w:u w:val="single"/>
                <w:lang w:val="hr-HR"/>
              </w:rPr>
              <w:t xml:space="preserve"> fiksn</w:t>
            </w:r>
            <w:r w:rsidR="0026304C">
              <w:rPr>
                <w:u w:val="single"/>
                <w:lang w:val="hr-HR"/>
              </w:rPr>
              <w:t>i</w:t>
            </w:r>
            <w:r w:rsidR="00F7759F">
              <w:rPr>
                <w:u w:val="single"/>
                <w:lang w:val="hr-HR"/>
              </w:rPr>
              <w:t xml:space="preserve"> broj</w:t>
            </w:r>
            <w:r w:rsidR="0026304C">
              <w:rPr>
                <w:u w:val="single"/>
                <w:lang w:val="hr-HR"/>
              </w:rPr>
              <w:t xml:space="preserve"> </w:t>
            </w:r>
            <w:r w:rsidR="00F7759F">
              <w:rPr>
                <w:u w:val="single"/>
                <w:lang w:val="hr-HR"/>
              </w:rPr>
              <w:t xml:space="preserve">baznih </w:t>
            </w:r>
            <w:r w:rsidR="005154BA">
              <w:rPr>
                <w:u w:val="single"/>
                <w:lang w:val="hr-HR"/>
              </w:rPr>
              <w:t>bodova</w:t>
            </w:r>
            <w:r w:rsidR="00F7759F">
              <w:rPr>
                <w:u w:val="single"/>
                <w:lang w:val="hr-HR"/>
              </w:rPr>
              <w:t xml:space="preserve"> ako je dužnik ostvario smanjenje emisija ugljika uređeno ugovorom u prethodnom izvještajnom periodu</w:t>
            </w:r>
            <w:r w:rsidRPr="00EB290C">
              <w:rPr>
                <w:u w:val="single"/>
                <w:lang w:val="hr-HR"/>
              </w:rPr>
              <w:t>.</w:t>
            </w:r>
          </w:p>
          <w:p w14:paraId="62A940F8" w14:textId="41BFFEC2" w:rsidR="00F5158D" w:rsidRPr="00EB290C" w:rsidRDefault="00F7759F">
            <w:pPr>
              <w:pStyle w:val="IASBTableNormal"/>
              <w:rPr>
                <w:lang w:val="hr-HR"/>
              </w:rPr>
            </w:pPr>
            <w:r>
              <w:rPr>
                <w:u w:val="single"/>
                <w:lang w:val="hr-HR"/>
              </w:rPr>
              <w:t>Maksimalna moguća usklađ</w:t>
            </w:r>
            <w:r w:rsidR="0026304C">
              <w:rPr>
                <w:u w:val="single"/>
                <w:lang w:val="hr-HR"/>
              </w:rPr>
              <w:t>iva</w:t>
            </w:r>
            <w:r>
              <w:rPr>
                <w:u w:val="single"/>
                <w:lang w:val="hr-HR"/>
              </w:rPr>
              <w:t>nja zajedno ne bi značajno promijenila kamatnu stopu zajma</w:t>
            </w:r>
            <w:r w:rsidR="00B34096" w:rsidRPr="00EB290C">
              <w:rPr>
                <w:u w:val="single"/>
                <w:lang w:val="hr-HR"/>
              </w:rPr>
              <w:t>.</w:t>
            </w:r>
          </w:p>
        </w:tc>
        <w:tc>
          <w:tcPr>
            <w:tcW w:w="2500" w:type="pct"/>
            <w:tcBorders>
              <w:right w:val="single" w:sz="0" w:space="0" w:color="auto"/>
            </w:tcBorders>
          </w:tcPr>
          <w:p w14:paraId="122E4642" w14:textId="77777777" w:rsidR="00F5158D" w:rsidRPr="00EB290C" w:rsidRDefault="00B34096">
            <w:pPr>
              <w:pStyle w:val="IASBTableNormal"/>
              <w:rPr>
                <w:lang w:val="hr-HR"/>
              </w:rPr>
            </w:pPr>
            <w:r w:rsidRPr="00EB290C">
              <w:rPr>
                <w:lang w:val="hr-HR"/>
              </w:rPr>
              <w:t>...</w:t>
            </w:r>
          </w:p>
          <w:p w14:paraId="144A157D" w14:textId="7E52DEA1" w:rsidR="00F5158D" w:rsidRPr="00EB290C" w:rsidRDefault="00F7759F">
            <w:pPr>
              <w:pStyle w:val="IASBTableNormal"/>
              <w:rPr>
                <w:lang w:val="hr-HR"/>
              </w:rPr>
            </w:pPr>
            <w:r>
              <w:rPr>
                <w:u w:val="single"/>
                <w:lang w:val="hr-HR"/>
              </w:rPr>
              <w:t>Ugovorni novčani tokovi su samo plaćanja glavnice i kamate na nepodmireni iznos glavnice</w:t>
            </w:r>
            <w:r w:rsidR="00B34096" w:rsidRPr="00EB290C">
              <w:rPr>
                <w:u w:val="single"/>
                <w:lang w:val="hr-HR"/>
              </w:rPr>
              <w:t>.</w:t>
            </w:r>
          </w:p>
          <w:p w14:paraId="79272922" w14:textId="171CBBB5" w:rsidR="00F5158D" w:rsidRPr="00EB290C" w:rsidRDefault="00F83B69">
            <w:pPr>
              <w:pStyle w:val="IASBTableNormal"/>
              <w:rPr>
                <w:lang w:val="hr-HR"/>
              </w:rPr>
            </w:pPr>
            <w:r>
              <w:rPr>
                <w:u w:val="single"/>
                <w:lang w:val="hr-HR"/>
              </w:rPr>
              <w:t xml:space="preserve">Subjekt bi razmatrao jesu li ugovorni novčani tokovi koji bi mogli nastati kako prije tako i nakon svake promjene ugovornih novčanih tokova samo plaćanja </w:t>
            </w:r>
            <w:r w:rsidR="00F50624">
              <w:rPr>
                <w:u w:val="single"/>
                <w:lang w:val="hr-HR"/>
              </w:rPr>
              <w:t>glavnice</w:t>
            </w:r>
            <w:r>
              <w:rPr>
                <w:u w:val="single"/>
                <w:lang w:val="hr-HR"/>
              </w:rPr>
              <w:t xml:space="preserve"> i kamate (vidjeti tačku</w:t>
            </w:r>
            <w:r w:rsidR="00B34096" w:rsidRPr="00EB290C">
              <w:rPr>
                <w:u w:val="single"/>
                <w:lang w:val="hr-HR"/>
              </w:rPr>
              <w:t xml:space="preserve"> B4.1.10).</w:t>
            </w:r>
          </w:p>
          <w:p w14:paraId="6E61FD8D" w14:textId="7FC6166E" w:rsidR="00F5158D" w:rsidRPr="00EB290C" w:rsidRDefault="00F83B69">
            <w:pPr>
              <w:pStyle w:val="IASBTableNormal"/>
              <w:rPr>
                <w:lang w:val="hr-HR"/>
              </w:rPr>
            </w:pPr>
            <w:r>
              <w:rPr>
                <w:u w:val="single"/>
                <w:lang w:val="hr-HR"/>
              </w:rPr>
              <w:t>Ako se desi nepredviđeni događaj, što je ostvarivanje ciljani</w:t>
            </w:r>
            <w:r w:rsidR="0024089E">
              <w:rPr>
                <w:u w:val="single"/>
                <w:lang w:val="hr-HR"/>
              </w:rPr>
              <w:t>h</w:t>
            </w:r>
            <w:r>
              <w:rPr>
                <w:u w:val="single"/>
                <w:lang w:val="hr-HR"/>
              </w:rPr>
              <w:t xml:space="preserve"> emisija ugljika, kamatna stopa se usklađuje za fiksni broj baznih bodova, što vodi ugovornim novčanim tokovima koji su u skladu sa osnovnim sporazumom o pozajmljivanju. Jedini razlog zašto subjekt ne može zaključiti, bez dalje procjene, jesu li novčani tokovi od finansijske imovine samo plaćanja </w:t>
            </w:r>
            <w:r w:rsidR="0026304C">
              <w:rPr>
                <w:u w:val="single"/>
                <w:lang w:val="hr-HR"/>
              </w:rPr>
              <w:t>glavnice</w:t>
            </w:r>
            <w:r>
              <w:rPr>
                <w:u w:val="single"/>
                <w:lang w:val="hr-HR"/>
              </w:rPr>
              <w:t xml:space="preserve"> i kamate je to što priroda samog nepredviđenog događaja nije izravno povezana s promjenama osnovnih rizika</w:t>
            </w:r>
            <w:r w:rsidR="0026304C">
              <w:rPr>
                <w:u w:val="single"/>
                <w:lang w:val="hr-HR"/>
              </w:rPr>
              <w:t xml:space="preserve"> pozajmljivanja</w:t>
            </w:r>
            <w:r>
              <w:rPr>
                <w:u w:val="single"/>
                <w:lang w:val="hr-HR"/>
              </w:rPr>
              <w:t xml:space="preserve"> i troškova. </w:t>
            </w:r>
          </w:p>
        </w:tc>
      </w:tr>
      <w:tr w:rsidR="00F5158D" w:rsidRPr="00EB290C" w14:paraId="72B92109" w14:textId="77777777">
        <w:tc>
          <w:tcPr>
            <w:tcW w:w="2500" w:type="pct"/>
            <w:tcBorders>
              <w:bottom w:val="single" w:sz="0" w:space="0" w:color="auto"/>
              <w:right w:val="single" w:sz="0" w:space="0" w:color="auto"/>
            </w:tcBorders>
          </w:tcPr>
          <w:p w14:paraId="4BEB5750" w14:textId="77777777" w:rsidR="00F5158D" w:rsidRPr="00EB290C" w:rsidRDefault="00F5158D">
            <w:pPr>
              <w:rPr>
                <w:lang w:val="hr-HR"/>
              </w:rPr>
            </w:pPr>
          </w:p>
        </w:tc>
        <w:tc>
          <w:tcPr>
            <w:tcW w:w="2500" w:type="pct"/>
            <w:tcBorders>
              <w:bottom w:val="single" w:sz="0" w:space="0" w:color="auto"/>
              <w:right w:val="single" w:sz="0" w:space="0" w:color="auto"/>
            </w:tcBorders>
          </w:tcPr>
          <w:p w14:paraId="1E816923" w14:textId="5BEB18D0" w:rsidR="00F5158D" w:rsidRPr="00EB290C" w:rsidRDefault="0024089E">
            <w:pPr>
              <w:pStyle w:val="IASBTableNormal"/>
              <w:rPr>
                <w:lang w:val="hr-HR"/>
              </w:rPr>
            </w:pPr>
            <w:r>
              <w:rPr>
                <w:u w:val="single"/>
                <w:lang w:val="hr-HR"/>
              </w:rPr>
              <w:t>Subjekt bi, prema tome, razmatrao da li, u svim mogućim scenarijima u vezi s danim ugovorom, ugovorn</w:t>
            </w:r>
            <w:r w:rsidR="00E75D1C">
              <w:rPr>
                <w:u w:val="single"/>
                <w:lang w:val="hr-HR"/>
              </w:rPr>
              <w:t>i novčani tokovi ne bi bili značajno drugačiji od ugovornih novčanih tokova od finansijskog instrumenta koji ima identične ugovorne uvjete, ali nema nepredviđeno obilježje povezano sa emisijama ugljika (vidjeti tačku</w:t>
            </w:r>
            <w:r w:rsidR="00B34096" w:rsidRPr="00EB290C">
              <w:rPr>
                <w:u w:val="single"/>
                <w:lang w:val="hr-HR"/>
              </w:rPr>
              <w:t xml:space="preserve"> B4.1.10A).</w:t>
            </w:r>
          </w:p>
          <w:p w14:paraId="65AB2BB8" w14:textId="768AA7BB" w:rsidR="00F5158D" w:rsidRPr="00EB290C" w:rsidRDefault="00E75D1C">
            <w:pPr>
              <w:pStyle w:val="IASBTableNormal"/>
              <w:rPr>
                <w:lang w:val="hr-HR"/>
              </w:rPr>
            </w:pPr>
            <w:r>
              <w:rPr>
                <w:u w:val="single"/>
                <w:lang w:val="hr-HR"/>
              </w:rPr>
              <w:t>Obzirom da bilo kakvo usklađivanje tokom važenja instrumenta ne bi vodil</w:t>
            </w:r>
            <w:r w:rsidR="0026304C">
              <w:rPr>
                <w:u w:val="single"/>
                <w:lang w:val="hr-HR"/>
              </w:rPr>
              <w:t xml:space="preserve">o </w:t>
            </w:r>
            <w:r>
              <w:rPr>
                <w:u w:val="single"/>
                <w:lang w:val="hr-HR"/>
              </w:rPr>
              <w:t xml:space="preserve">ugovornim novčanim tokovima koji su značajno drugačiji, subjekt bi zaključio da zajam ima ugovorne novčane tokove koji su samo plaćanja glavnice i kamate na </w:t>
            </w:r>
            <w:r w:rsidR="0026304C">
              <w:rPr>
                <w:u w:val="single"/>
                <w:lang w:val="hr-HR"/>
              </w:rPr>
              <w:t>ne</w:t>
            </w:r>
            <w:r>
              <w:rPr>
                <w:u w:val="single"/>
                <w:lang w:val="hr-HR"/>
              </w:rPr>
              <w:t>podmireni iznos glavnice</w:t>
            </w:r>
            <w:r w:rsidR="00B34096" w:rsidRPr="00EB290C">
              <w:rPr>
                <w:u w:val="single"/>
                <w:lang w:val="hr-HR"/>
              </w:rPr>
              <w:t>.</w:t>
            </w:r>
          </w:p>
        </w:tc>
      </w:tr>
    </w:tbl>
    <w:p w14:paraId="43354563" w14:textId="77777777" w:rsidR="00F5158D" w:rsidRPr="00EB290C" w:rsidRDefault="00B34096">
      <w:pPr>
        <w:pStyle w:val="IASBNormalnpara"/>
        <w:rPr>
          <w:lang w:val="hr-HR"/>
        </w:rPr>
      </w:pPr>
      <w:r w:rsidRPr="00EB290C">
        <w:rPr>
          <w:lang w:val="hr-HR"/>
        </w:rPr>
        <w:tab/>
      </w:r>
    </w:p>
    <w:p w14:paraId="6DB3CF30" w14:textId="50B38216" w:rsidR="00F5158D" w:rsidRPr="00EB290C" w:rsidRDefault="00B34096">
      <w:pPr>
        <w:pStyle w:val="IASBNormalnpara"/>
        <w:rPr>
          <w:lang w:val="hr-HR"/>
        </w:rPr>
      </w:pPr>
      <w:r w:rsidRPr="00EB290C">
        <w:rPr>
          <w:lang w:val="hr-HR"/>
        </w:rPr>
        <w:t>B4.1.14</w:t>
      </w:r>
      <w:r w:rsidRPr="00EB290C">
        <w:rPr>
          <w:lang w:val="hr-HR"/>
        </w:rPr>
        <w:tab/>
      </w:r>
      <w:r w:rsidR="00DE698D">
        <w:rPr>
          <w:lang w:val="hr-HR"/>
        </w:rPr>
        <w:t xml:space="preserve">Slijede primjeri koji prikazuju ugovorne novčane tokove koji nisu samo plaćanja glavnice i kamate na nepodmireni iznos glavnice. Ovaj popis primjera nije iscrpan. </w:t>
      </w:r>
    </w:p>
    <w:p w14:paraId="262057AE" w14:textId="77777777" w:rsidR="00F5158D" w:rsidRPr="00EB290C" w:rsidRDefault="00B34096">
      <w:pPr>
        <w:pStyle w:val="IASBNormalnpara"/>
        <w:rPr>
          <w:lang w:val="hr-HR"/>
        </w:rPr>
      </w:pPr>
      <w:r w:rsidRPr="00EB290C">
        <w:rPr>
          <w:lang w:val="hr-HR"/>
        </w:rPr>
        <w:tab/>
      </w:r>
    </w:p>
    <w:tbl>
      <w:tblPr>
        <w:tblW w:w="0" w:type="auto"/>
        <w:tblInd w:w="864" w:type="dxa"/>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4075"/>
        <w:gridCol w:w="4076"/>
      </w:tblGrid>
      <w:tr w:rsidR="00F5158D" w:rsidRPr="00EB290C" w14:paraId="2895F382" w14:textId="77777777">
        <w:trPr>
          <w:tblHeader/>
        </w:trPr>
        <w:tc>
          <w:tcPr>
            <w:tcW w:w="2500" w:type="pct"/>
            <w:tcBorders>
              <w:bottom w:val="single" w:sz="0" w:space="0" w:color="auto"/>
              <w:right w:val="single" w:sz="0" w:space="0" w:color="auto"/>
            </w:tcBorders>
          </w:tcPr>
          <w:p w14:paraId="41D06FC6" w14:textId="77777777" w:rsidR="00F5158D" w:rsidRPr="00EB290C" w:rsidRDefault="00B34096">
            <w:pPr>
              <w:pStyle w:val="IASBTableHeaderArial"/>
              <w:rPr>
                <w:lang w:val="hr-HR"/>
              </w:rPr>
            </w:pPr>
            <w:r w:rsidRPr="00EB290C">
              <w:rPr>
                <w:lang w:val="hr-HR"/>
              </w:rPr>
              <w:t>Instrument</w:t>
            </w:r>
          </w:p>
        </w:tc>
        <w:tc>
          <w:tcPr>
            <w:tcW w:w="2500" w:type="pct"/>
            <w:tcBorders>
              <w:bottom w:val="single" w:sz="0" w:space="0" w:color="auto"/>
              <w:right w:val="single" w:sz="0" w:space="0" w:color="auto"/>
            </w:tcBorders>
          </w:tcPr>
          <w:p w14:paraId="745CD64B" w14:textId="184DE8A3" w:rsidR="00F5158D" w:rsidRPr="00EB290C" w:rsidRDefault="00B34096">
            <w:pPr>
              <w:pStyle w:val="IASBTableHeaderArial"/>
              <w:rPr>
                <w:lang w:val="hr-HR"/>
              </w:rPr>
            </w:pPr>
            <w:r w:rsidRPr="00EB290C">
              <w:rPr>
                <w:lang w:val="hr-HR"/>
              </w:rPr>
              <w:t>Ana</w:t>
            </w:r>
            <w:r w:rsidR="00DE698D">
              <w:rPr>
                <w:lang w:val="hr-HR"/>
              </w:rPr>
              <w:t>liza</w:t>
            </w:r>
          </w:p>
        </w:tc>
      </w:tr>
      <w:tr w:rsidR="00F5158D" w:rsidRPr="00EB290C" w14:paraId="055FE972" w14:textId="77777777">
        <w:tc>
          <w:tcPr>
            <w:tcW w:w="2500" w:type="pct"/>
            <w:tcBorders>
              <w:bottom w:val="single" w:sz="0" w:space="0" w:color="auto"/>
              <w:right w:val="single" w:sz="0" w:space="0" w:color="auto"/>
            </w:tcBorders>
          </w:tcPr>
          <w:p w14:paraId="1BAB8A3C" w14:textId="77777777" w:rsidR="00F5158D" w:rsidRPr="00EB290C" w:rsidRDefault="00B34096">
            <w:pPr>
              <w:pStyle w:val="IASBTableNormal"/>
              <w:rPr>
                <w:lang w:val="hr-HR"/>
              </w:rPr>
            </w:pPr>
            <w:r w:rsidRPr="00EB290C">
              <w:rPr>
                <w:lang w:val="hr-HR"/>
              </w:rPr>
              <w:t>...</w:t>
            </w:r>
          </w:p>
          <w:p w14:paraId="1EE2E8A1" w14:textId="77777777" w:rsidR="00F5158D" w:rsidRPr="00EB290C" w:rsidRDefault="00B34096">
            <w:pPr>
              <w:pStyle w:val="IASBTableArial"/>
              <w:rPr>
                <w:lang w:val="hr-HR"/>
              </w:rPr>
            </w:pPr>
            <w:r w:rsidRPr="00EB290C">
              <w:rPr>
                <w:b/>
                <w:u w:val="single"/>
                <w:lang w:val="hr-HR"/>
              </w:rPr>
              <w:t>Instrument I</w:t>
            </w:r>
          </w:p>
          <w:p w14:paraId="0203313F" w14:textId="6563A75C" w:rsidR="00F5158D" w:rsidRPr="00EB290C" w:rsidRDefault="00B34096">
            <w:pPr>
              <w:pStyle w:val="IASBTableNormal"/>
              <w:rPr>
                <w:lang w:val="hr-HR"/>
              </w:rPr>
            </w:pPr>
            <w:r w:rsidRPr="00EB290C">
              <w:rPr>
                <w:u w:val="single"/>
                <w:lang w:val="hr-HR"/>
              </w:rPr>
              <w:t>I</w:t>
            </w:r>
            <w:r w:rsidR="00DE698D">
              <w:rPr>
                <w:u w:val="single"/>
                <w:lang w:val="hr-HR"/>
              </w:rPr>
              <w:t>nstrument I je zajam koji se svakog izvještajnog perioda usklađuje kako bi se pratila kretanja tržišno određenog indeksa cijena ugljika t</w:t>
            </w:r>
            <w:r w:rsidR="00492110">
              <w:rPr>
                <w:u w:val="single"/>
                <w:lang w:val="hr-HR"/>
              </w:rPr>
              <w:t>okom</w:t>
            </w:r>
            <w:r w:rsidR="00DE698D">
              <w:rPr>
                <w:u w:val="single"/>
                <w:lang w:val="hr-HR"/>
              </w:rPr>
              <w:t xml:space="preserve"> prethodnog izvještajnog perioda</w:t>
            </w:r>
            <w:r w:rsidRPr="00EB290C">
              <w:rPr>
                <w:u w:val="single"/>
                <w:lang w:val="hr-HR"/>
              </w:rPr>
              <w:t>.</w:t>
            </w:r>
          </w:p>
        </w:tc>
        <w:tc>
          <w:tcPr>
            <w:tcW w:w="2500" w:type="pct"/>
            <w:tcBorders>
              <w:bottom w:val="single" w:sz="0" w:space="0" w:color="auto"/>
              <w:right w:val="single" w:sz="0" w:space="0" w:color="auto"/>
            </w:tcBorders>
          </w:tcPr>
          <w:p w14:paraId="4F84FFAC" w14:textId="77777777" w:rsidR="00F5158D" w:rsidRPr="00EB290C" w:rsidRDefault="00B34096">
            <w:pPr>
              <w:pStyle w:val="IASBTableNormal"/>
              <w:rPr>
                <w:lang w:val="hr-HR"/>
              </w:rPr>
            </w:pPr>
            <w:r w:rsidRPr="00EB290C">
              <w:rPr>
                <w:lang w:val="hr-HR"/>
              </w:rPr>
              <w:t>...</w:t>
            </w:r>
          </w:p>
          <w:p w14:paraId="3C5155C2" w14:textId="30427DB5" w:rsidR="00F5158D" w:rsidRPr="00EB290C" w:rsidRDefault="003B45FB">
            <w:pPr>
              <w:pStyle w:val="IASBTableNormal"/>
              <w:rPr>
                <w:lang w:val="hr-HR"/>
              </w:rPr>
            </w:pPr>
            <w:r>
              <w:rPr>
                <w:u w:val="single"/>
                <w:lang w:val="hr-HR"/>
              </w:rPr>
              <w:t xml:space="preserve">Ugovorni novčani tokovi </w:t>
            </w:r>
            <w:r w:rsidR="00492110">
              <w:rPr>
                <w:u w:val="single"/>
                <w:lang w:val="hr-HR"/>
              </w:rPr>
              <w:t>ni</w:t>
            </w:r>
            <w:r>
              <w:rPr>
                <w:u w:val="single"/>
                <w:lang w:val="hr-HR"/>
              </w:rPr>
              <w:t>su samo plaćanja glavnice i kamate ne nepodmireni iznos glavnice</w:t>
            </w:r>
            <w:r w:rsidR="00B34096" w:rsidRPr="00EB290C">
              <w:rPr>
                <w:u w:val="single"/>
                <w:lang w:val="hr-HR"/>
              </w:rPr>
              <w:t>.</w:t>
            </w:r>
          </w:p>
          <w:p w14:paraId="1753D004" w14:textId="14097AA1" w:rsidR="00F5158D" w:rsidRPr="00EB290C" w:rsidRDefault="003B45FB">
            <w:pPr>
              <w:pStyle w:val="IASBTableNormal"/>
              <w:rPr>
                <w:lang w:val="hr-HR"/>
              </w:rPr>
            </w:pPr>
            <w:r>
              <w:rPr>
                <w:u w:val="single"/>
                <w:lang w:val="hr-HR"/>
              </w:rPr>
              <w:t xml:space="preserve">Ugovorni novčani tokovi </w:t>
            </w:r>
            <w:r w:rsidR="00492110">
              <w:rPr>
                <w:u w:val="single"/>
                <w:lang w:val="hr-HR"/>
              </w:rPr>
              <w:t>su</w:t>
            </w:r>
            <w:r>
              <w:rPr>
                <w:u w:val="single"/>
                <w:lang w:val="hr-HR"/>
              </w:rPr>
              <w:t xml:space="preserve"> indeksira</w:t>
            </w:r>
            <w:r w:rsidR="00492110">
              <w:rPr>
                <w:u w:val="single"/>
                <w:lang w:val="hr-HR"/>
              </w:rPr>
              <w:t>ni</w:t>
            </w:r>
            <w:r>
              <w:rPr>
                <w:u w:val="single"/>
                <w:lang w:val="hr-HR"/>
              </w:rPr>
              <w:t xml:space="preserve"> p</w:t>
            </w:r>
            <w:r w:rsidR="00492110">
              <w:rPr>
                <w:u w:val="single"/>
                <w:lang w:val="hr-HR"/>
              </w:rPr>
              <w:t>rema</w:t>
            </w:r>
            <w:r>
              <w:rPr>
                <w:u w:val="single"/>
                <w:lang w:val="hr-HR"/>
              </w:rPr>
              <w:t xml:space="preserve"> varijabli (indeksu cijena ugljika) koja nije osnovni rizik</w:t>
            </w:r>
            <w:r w:rsidR="00492110">
              <w:rPr>
                <w:u w:val="single"/>
                <w:lang w:val="hr-HR"/>
              </w:rPr>
              <w:t xml:space="preserve"> pozajmljivanja</w:t>
            </w:r>
            <w:r>
              <w:rPr>
                <w:u w:val="single"/>
                <w:lang w:val="hr-HR"/>
              </w:rPr>
              <w:t xml:space="preserve"> </w:t>
            </w:r>
            <w:r w:rsidR="00492110">
              <w:rPr>
                <w:u w:val="single"/>
                <w:lang w:val="hr-HR"/>
              </w:rPr>
              <w:t>niti</w:t>
            </w:r>
            <w:r>
              <w:rPr>
                <w:u w:val="single"/>
                <w:lang w:val="hr-HR"/>
              </w:rPr>
              <w:t xml:space="preserve"> trošak. Prema tome, ugovorni novčani tokovi n</w:t>
            </w:r>
            <w:r w:rsidR="00492110">
              <w:rPr>
                <w:u w:val="single"/>
                <w:lang w:val="hr-HR"/>
              </w:rPr>
              <w:t>isu</w:t>
            </w:r>
            <w:r>
              <w:rPr>
                <w:u w:val="single"/>
                <w:lang w:val="hr-HR"/>
              </w:rPr>
              <w:t xml:space="preserve"> u skladu sa osnovnim sporazumom o pozajmljivanju </w:t>
            </w:r>
            <w:r w:rsidR="00B34096" w:rsidRPr="00EB290C">
              <w:rPr>
                <w:u w:val="single"/>
                <w:lang w:val="hr-HR"/>
              </w:rPr>
              <w:t>(</w:t>
            </w:r>
            <w:r>
              <w:rPr>
                <w:u w:val="single"/>
                <w:lang w:val="hr-HR"/>
              </w:rPr>
              <w:t>vidjeti tačku</w:t>
            </w:r>
            <w:r w:rsidR="00B34096" w:rsidRPr="00EB290C">
              <w:rPr>
                <w:u w:val="single"/>
                <w:lang w:val="hr-HR"/>
              </w:rPr>
              <w:t xml:space="preserve"> B4.1.8A).</w:t>
            </w:r>
          </w:p>
        </w:tc>
      </w:tr>
    </w:tbl>
    <w:p w14:paraId="4B8B7289" w14:textId="77777777" w:rsidR="00F5158D" w:rsidRPr="00EB290C" w:rsidRDefault="00B34096">
      <w:pPr>
        <w:pStyle w:val="IASBNormalnpara"/>
        <w:rPr>
          <w:lang w:val="hr-HR"/>
        </w:rPr>
      </w:pPr>
      <w:r w:rsidRPr="00EB290C">
        <w:rPr>
          <w:lang w:val="hr-HR"/>
        </w:rPr>
        <w:lastRenderedPageBreak/>
        <w:tab/>
      </w:r>
    </w:p>
    <w:p w14:paraId="3FB5CD7B" w14:textId="4AB23E8A" w:rsidR="00F5158D" w:rsidRPr="00EB290C" w:rsidRDefault="00B34096">
      <w:pPr>
        <w:pStyle w:val="IASBNormalnpara"/>
        <w:rPr>
          <w:lang w:val="hr-HR"/>
        </w:rPr>
      </w:pPr>
      <w:r w:rsidRPr="00EB290C">
        <w:rPr>
          <w:lang w:val="hr-HR"/>
        </w:rPr>
        <w:t>B4.1.15</w:t>
      </w:r>
      <w:r w:rsidRPr="00EB290C">
        <w:rPr>
          <w:lang w:val="hr-HR"/>
        </w:rPr>
        <w:tab/>
      </w:r>
      <w:r w:rsidR="003B45FB">
        <w:rPr>
          <w:lang w:val="hr-HR"/>
        </w:rPr>
        <w:t>U nekim slučajevima finansijska imovina može imati ugovorne novčane tokove koji su opisani kao glavnica i kamata, ali ti novčani tokovi ne predstavljaju plaćanje glavnice i kamate na nepodmireni iznos glavnice kako je opisano u tačkama</w:t>
      </w:r>
      <w:r w:rsidRPr="00EB290C">
        <w:rPr>
          <w:lang w:val="hr-HR"/>
        </w:rPr>
        <w:t xml:space="preserve"> 4.1.2</w:t>
      </w:r>
      <w:r w:rsidR="003B45FB">
        <w:rPr>
          <w:lang w:val="hr-HR"/>
        </w:rPr>
        <w:t xml:space="preserve">. podtačka </w:t>
      </w:r>
      <w:r w:rsidRPr="00EB290C">
        <w:rPr>
          <w:lang w:val="hr-HR"/>
        </w:rPr>
        <w:t>(b), 4.1.2</w:t>
      </w:r>
      <w:r w:rsidR="003B45FB">
        <w:rPr>
          <w:lang w:val="hr-HR"/>
        </w:rPr>
        <w:t>.</w:t>
      </w:r>
      <w:r w:rsidRPr="00EB290C">
        <w:rPr>
          <w:lang w:val="hr-HR"/>
        </w:rPr>
        <w:t>A</w:t>
      </w:r>
      <w:r w:rsidR="003B45FB">
        <w:rPr>
          <w:lang w:val="hr-HR"/>
        </w:rPr>
        <w:t xml:space="preserve"> podtačka </w:t>
      </w:r>
      <w:r w:rsidRPr="00EB290C">
        <w:rPr>
          <w:lang w:val="hr-HR"/>
        </w:rPr>
        <w:t xml:space="preserve">(b) </w:t>
      </w:r>
      <w:r w:rsidR="003B45FB">
        <w:rPr>
          <w:lang w:val="hr-HR"/>
        </w:rPr>
        <w:t xml:space="preserve">i </w:t>
      </w:r>
      <w:r w:rsidRPr="00EB290C">
        <w:rPr>
          <w:lang w:val="hr-HR"/>
        </w:rPr>
        <w:t>4.1.3 o</w:t>
      </w:r>
      <w:r w:rsidR="003B45FB">
        <w:rPr>
          <w:lang w:val="hr-HR"/>
        </w:rPr>
        <w:t>vog Standarda.</w:t>
      </w:r>
    </w:p>
    <w:p w14:paraId="3C98CE1C" w14:textId="4577A3A6" w:rsidR="00F5158D" w:rsidRPr="00EB290C" w:rsidRDefault="00B34096">
      <w:pPr>
        <w:pStyle w:val="IASBNormalnpara"/>
        <w:rPr>
          <w:lang w:val="hr-HR"/>
        </w:rPr>
      </w:pPr>
      <w:r w:rsidRPr="00EB290C">
        <w:rPr>
          <w:lang w:val="hr-HR"/>
        </w:rPr>
        <w:t>B4.1.16</w:t>
      </w:r>
      <w:r w:rsidRPr="00EB290C">
        <w:rPr>
          <w:lang w:val="hr-HR"/>
        </w:rPr>
        <w:tab/>
        <w:t>T</w:t>
      </w:r>
      <w:r w:rsidR="004307B1">
        <w:rPr>
          <w:lang w:val="hr-HR"/>
        </w:rPr>
        <w:t>o može biti slučaj ako finansijska imovina predstavlja ulaganje u određenu imovinu ili novčane tokove te</w:t>
      </w:r>
      <w:r w:rsidR="002D246B">
        <w:rPr>
          <w:lang w:val="hr-HR"/>
        </w:rPr>
        <w:t>,</w:t>
      </w:r>
      <w:r w:rsidR="004307B1">
        <w:rPr>
          <w:lang w:val="hr-HR"/>
        </w:rPr>
        <w:t xml:space="preserve"> stoga</w:t>
      </w:r>
      <w:r w:rsidR="002D246B">
        <w:rPr>
          <w:lang w:val="hr-HR"/>
        </w:rPr>
        <w:t>,</w:t>
      </w:r>
      <w:r w:rsidR="004307B1">
        <w:rPr>
          <w:lang w:val="hr-HR"/>
        </w:rPr>
        <w:t xml:space="preserve"> ugovorni novčani tokovi nisu samo plaćanja glavnice i kamate na nepodmirenu glavnicu. Primjerice, ako je ugovornim uvjetima određeno da se novčani tokovi od finansijske imovine povećavaju s povećanjem broja automobila na određenoj prometnici s naplatom cestarine, ti ugovorni novčani tokovi nisu u skladu sa osnovnim sporazumom o pozajmljivanju</w:t>
      </w:r>
      <w:r w:rsidRPr="00EB290C">
        <w:rPr>
          <w:lang w:val="hr-HR"/>
        </w:rPr>
        <w:t xml:space="preserve">. </w:t>
      </w:r>
      <w:r w:rsidR="0046687F">
        <w:rPr>
          <w:lang w:val="hr-HR"/>
        </w:rPr>
        <w:t xml:space="preserve">Kao rezultat toga, instrument ne bi zadovoljio uvjet iz tačke </w:t>
      </w:r>
      <w:r w:rsidRPr="00EB290C">
        <w:rPr>
          <w:lang w:val="hr-HR"/>
        </w:rPr>
        <w:t>4.1.2</w:t>
      </w:r>
      <w:r w:rsidR="0046687F">
        <w:rPr>
          <w:lang w:val="hr-HR"/>
        </w:rPr>
        <w:t>. podtačk</w:t>
      </w:r>
      <w:r w:rsidR="002D246B">
        <w:rPr>
          <w:lang w:val="hr-HR"/>
        </w:rPr>
        <w:t>a</w:t>
      </w:r>
      <w:r w:rsidR="0046687F">
        <w:rPr>
          <w:lang w:val="hr-HR"/>
        </w:rPr>
        <w:t xml:space="preserve"> </w:t>
      </w:r>
      <w:r w:rsidRPr="00EB290C">
        <w:rPr>
          <w:lang w:val="hr-HR"/>
        </w:rPr>
        <w:t xml:space="preserve">(b) </w:t>
      </w:r>
      <w:r w:rsidR="0046687F">
        <w:rPr>
          <w:lang w:val="hr-HR"/>
        </w:rPr>
        <w:t>i</w:t>
      </w:r>
      <w:r w:rsidRPr="00EB290C">
        <w:rPr>
          <w:lang w:val="hr-HR"/>
        </w:rPr>
        <w:t xml:space="preserve"> 4.1.2A</w:t>
      </w:r>
      <w:r w:rsidR="0046687F">
        <w:rPr>
          <w:lang w:val="hr-HR"/>
        </w:rPr>
        <w:t>. podtačk</w:t>
      </w:r>
      <w:r w:rsidR="002D246B">
        <w:rPr>
          <w:lang w:val="hr-HR"/>
        </w:rPr>
        <w:t>a</w:t>
      </w:r>
      <w:r w:rsidR="0046687F">
        <w:rPr>
          <w:lang w:val="hr-HR"/>
        </w:rPr>
        <w:t xml:space="preserve"> </w:t>
      </w:r>
      <w:r w:rsidRPr="00EB290C">
        <w:rPr>
          <w:lang w:val="hr-HR"/>
        </w:rPr>
        <w:t>(b).</w:t>
      </w:r>
      <w:r w:rsidRPr="00EB290C">
        <w:rPr>
          <w:strike/>
          <w:lang w:val="hr-HR"/>
        </w:rPr>
        <w:t xml:space="preserve"> T</w:t>
      </w:r>
      <w:r w:rsidR="0046687F">
        <w:rPr>
          <w:strike/>
          <w:lang w:val="hr-HR"/>
        </w:rPr>
        <w:t>o može biti slučaj kada je potraživanje vjerovnika ograničeno na određenu imovinu dužnika ili na novčane tokove od određene imovine (primjerice, finansijske imovine bez prava naplate (</w:t>
      </w:r>
      <w:r w:rsidR="0046687F" w:rsidRPr="0046687F">
        <w:rPr>
          <w:i/>
          <w:iCs/>
          <w:strike/>
          <w:lang w:val="hr-HR"/>
        </w:rPr>
        <w:t>non-recourse</w:t>
      </w:r>
      <w:r w:rsidR="0046687F">
        <w:rPr>
          <w:strike/>
          <w:lang w:val="hr-HR"/>
        </w:rPr>
        <w:t>)</w:t>
      </w:r>
      <w:r w:rsidR="002D246B">
        <w:rPr>
          <w:strike/>
          <w:lang w:val="hr-HR"/>
        </w:rPr>
        <w:t>)</w:t>
      </w:r>
      <w:r w:rsidRPr="00EB290C">
        <w:rPr>
          <w:strike/>
          <w:lang w:val="hr-HR"/>
        </w:rPr>
        <w:t>.</w:t>
      </w:r>
    </w:p>
    <w:p w14:paraId="4D27EDA0" w14:textId="0292CD04" w:rsidR="00F5158D" w:rsidRPr="00EB290C" w:rsidRDefault="00B34096">
      <w:pPr>
        <w:pStyle w:val="IASBNormalnpara"/>
        <w:rPr>
          <w:lang w:val="hr-HR"/>
        </w:rPr>
      </w:pPr>
      <w:r w:rsidRPr="00EB290C">
        <w:rPr>
          <w:u w:val="single"/>
          <w:lang w:val="hr-HR"/>
        </w:rPr>
        <w:t>B4.1.16A</w:t>
      </w:r>
      <w:r w:rsidRPr="00EB290C">
        <w:rPr>
          <w:lang w:val="hr-HR"/>
        </w:rPr>
        <w:tab/>
      </w:r>
      <w:r w:rsidR="00A91B82">
        <w:rPr>
          <w:u w:val="single"/>
          <w:lang w:val="hr-HR"/>
        </w:rPr>
        <w:t xml:space="preserve">Situacija opisana u tački </w:t>
      </w:r>
      <w:r w:rsidRPr="00EB290C">
        <w:rPr>
          <w:u w:val="single"/>
          <w:lang w:val="hr-HR"/>
        </w:rPr>
        <w:t>B4.1.15</w:t>
      </w:r>
      <w:r w:rsidR="002D246B">
        <w:rPr>
          <w:u w:val="single"/>
          <w:lang w:val="hr-HR"/>
        </w:rPr>
        <w:t>.</w:t>
      </w:r>
      <w:r w:rsidRPr="00EB290C">
        <w:rPr>
          <w:u w:val="single"/>
          <w:lang w:val="hr-HR"/>
        </w:rPr>
        <w:t xml:space="preserve"> m</w:t>
      </w:r>
      <w:r w:rsidR="00A91B82">
        <w:rPr>
          <w:u w:val="single"/>
          <w:lang w:val="hr-HR"/>
        </w:rPr>
        <w:t xml:space="preserve">ože se javiti i kada finansijska imovina </w:t>
      </w:r>
      <w:r w:rsidR="00456A63">
        <w:rPr>
          <w:u w:val="single"/>
          <w:lang w:val="hr-HR"/>
        </w:rPr>
        <w:t xml:space="preserve">ima obilježja imovine </w:t>
      </w:r>
      <w:r w:rsidR="00A91B82">
        <w:rPr>
          <w:u w:val="single"/>
          <w:lang w:val="hr-HR"/>
        </w:rPr>
        <w:t>bez prava naplate (</w:t>
      </w:r>
      <w:r w:rsidR="00A91B82" w:rsidRPr="00A91B82">
        <w:rPr>
          <w:i/>
          <w:iCs/>
          <w:u w:val="single"/>
          <w:lang w:val="hr-HR"/>
        </w:rPr>
        <w:t>non-recourse</w:t>
      </w:r>
      <w:r w:rsidR="00A91B82">
        <w:rPr>
          <w:u w:val="single"/>
          <w:lang w:val="hr-HR"/>
        </w:rPr>
        <w:t>).</w:t>
      </w:r>
      <w:r w:rsidRPr="00EB290C">
        <w:rPr>
          <w:u w:val="single"/>
          <w:lang w:val="hr-HR"/>
        </w:rPr>
        <w:t xml:space="preserve"> </w:t>
      </w:r>
      <w:r w:rsidR="00A91B82">
        <w:rPr>
          <w:u w:val="single"/>
          <w:lang w:val="hr-HR"/>
        </w:rPr>
        <w:t xml:space="preserve">Finansijska imovina </w:t>
      </w:r>
      <w:r w:rsidR="00456A63">
        <w:rPr>
          <w:u w:val="single"/>
          <w:lang w:val="hr-HR"/>
        </w:rPr>
        <w:t xml:space="preserve">ima obilježja imovine bez </w:t>
      </w:r>
      <w:r w:rsidR="00A91B82">
        <w:rPr>
          <w:u w:val="single"/>
          <w:lang w:val="hr-HR"/>
        </w:rPr>
        <w:t xml:space="preserve">prava naplate ako je </w:t>
      </w:r>
      <w:r w:rsidR="000F787A">
        <w:rPr>
          <w:u w:val="single"/>
          <w:lang w:val="hr-HR"/>
        </w:rPr>
        <w:t>osnovno</w:t>
      </w:r>
      <w:r w:rsidR="00A91B82">
        <w:rPr>
          <w:u w:val="single"/>
          <w:lang w:val="hr-HR"/>
        </w:rPr>
        <w:t xml:space="preserve"> pravo subjekta na primanje novčanih tokova ugovorno ograničeno na novčane tokove od određene imovine. Drugim riječima, subjekt je izložen primarno riziku performans</w:t>
      </w:r>
      <w:r w:rsidR="000F787A">
        <w:rPr>
          <w:u w:val="single"/>
          <w:lang w:val="hr-HR"/>
        </w:rPr>
        <w:t>e n</w:t>
      </w:r>
      <w:r w:rsidR="00A91B82">
        <w:rPr>
          <w:u w:val="single"/>
          <w:lang w:val="hr-HR"/>
        </w:rPr>
        <w:t xml:space="preserve">aznačene imovine a ne kreditnom riziku dužnika. Na primjer, </w:t>
      </w:r>
      <w:r w:rsidR="000F787A">
        <w:rPr>
          <w:u w:val="single"/>
          <w:lang w:val="hr-HR"/>
        </w:rPr>
        <w:t>osnovno</w:t>
      </w:r>
      <w:r w:rsidR="00A91B82">
        <w:rPr>
          <w:u w:val="single"/>
          <w:lang w:val="hr-HR"/>
        </w:rPr>
        <w:t xml:space="preserve"> pravo vjerovnika na primanje novčanih tokova bi moglo biti ugovorno ograničeno na novčane tokove od naznačene imovine strukturiranog subjekta</w:t>
      </w:r>
      <w:r w:rsidRPr="00EB290C">
        <w:rPr>
          <w:u w:val="single"/>
          <w:lang w:val="hr-HR"/>
        </w:rPr>
        <w:t>.</w:t>
      </w:r>
    </w:p>
    <w:p w14:paraId="0FD3EAB8" w14:textId="0DED75B9" w:rsidR="00F5158D" w:rsidRPr="00EB290C" w:rsidRDefault="00B34096">
      <w:pPr>
        <w:pStyle w:val="IASBNormalnpara"/>
        <w:rPr>
          <w:lang w:val="hr-HR"/>
        </w:rPr>
      </w:pPr>
      <w:r w:rsidRPr="00EB290C">
        <w:rPr>
          <w:lang w:val="hr-HR"/>
        </w:rPr>
        <w:t>B4.1.17</w:t>
      </w:r>
      <w:r w:rsidRPr="00EB290C">
        <w:rPr>
          <w:lang w:val="hr-HR"/>
        </w:rPr>
        <w:tab/>
      </w:r>
      <w:r w:rsidR="00456A63">
        <w:rPr>
          <w:lang w:val="hr-HR"/>
        </w:rPr>
        <w:t xml:space="preserve">Međutim, činjenica da </w:t>
      </w:r>
      <w:r w:rsidR="00456A63" w:rsidRPr="00456A63">
        <w:rPr>
          <w:strike/>
          <w:lang w:val="hr-HR"/>
        </w:rPr>
        <w:t xml:space="preserve">je </w:t>
      </w:r>
      <w:r w:rsidR="00456A63">
        <w:rPr>
          <w:lang w:val="hr-HR"/>
        </w:rPr>
        <w:t>finansijska imovina</w:t>
      </w:r>
      <w:r w:rsidR="00456A63" w:rsidRPr="00456A63">
        <w:rPr>
          <w:u w:val="single"/>
          <w:lang w:val="hr-HR"/>
        </w:rPr>
        <w:t xml:space="preserve"> ima obilježja imovine</w:t>
      </w:r>
      <w:r w:rsidR="00456A63">
        <w:rPr>
          <w:lang w:val="hr-HR"/>
        </w:rPr>
        <w:t xml:space="preserve"> bez prava naplate ne znači samo po sebi da finansijska imovina ne može ispuniti uvjet iz tačaka </w:t>
      </w:r>
      <w:r w:rsidRPr="00EB290C">
        <w:rPr>
          <w:lang w:val="hr-HR"/>
        </w:rPr>
        <w:t>4.1.2</w:t>
      </w:r>
      <w:r w:rsidR="00456A63">
        <w:rPr>
          <w:lang w:val="hr-HR"/>
        </w:rPr>
        <w:t>. podtačk</w:t>
      </w:r>
      <w:r w:rsidR="00A33412">
        <w:rPr>
          <w:lang w:val="hr-HR"/>
        </w:rPr>
        <w:t>a</w:t>
      </w:r>
      <w:r w:rsidR="00456A63">
        <w:rPr>
          <w:lang w:val="hr-HR"/>
        </w:rPr>
        <w:t xml:space="preserve"> </w:t>
      </w:r>
      <w:r w:rsidRPr="00EB290C">
        <w:rPr>
          <w:lang w:val="hr-HR"/>
        </w:rPr>
        <w:t xml:space="preserve">(b) </w:t>
      </w:r>
      <w:r w:rsidR="00456A63">
        <w:rPr>
          <w:lang w:val="hr-HR"/>
        </w:rPr>
        <w:t>i</w:t>
      </w:r>
      <w:r w:rsidRPr="00EB290C">
        <w:rPr>
          <w:lang w:val="hr-HR"/>
        </w:rPr>
        <w:t xml:space="preserve"> 4.1.2A</w:t>
      </w:r>
      <w:r w:rsidR="00456A63">
        <w:rPr>
          <w:lang w:val="hr-HR"/>
        </w:rPr>
        <w:t>. podtačk</w:t>
      </w:r>
      <w:r w:rsidR="00A33412">
        <w:rPr>
          <w:lang w:val="hr-HR"/>
        </w:rPr>
        <w:t>a</w:t>
      </w:r>
      <w:r w:rsidR="00456A63">
        <w:rPr>
          <w:lang w:val="hr-HR"/>
        </w:rPr>
        <w:t xml:space="preserve"> </w:t>
      </w:r>
      <w:r w:rsidRPr="00EB290C">
        <w:rPr>
          <w:lang w:val="hr-HR"/>
        </w:rPr>
        <w:t xml:space="preserve">(b). </w:t>
      </w:r>
      <w:r w:rsidR="00456A63">
        <w:rPr>
          <w:lang w:val="hr-HR"/>
        </w:rPr>
        <w:t>U takvim situacijama, vjerovnik je dužan procijeniti (dobiti uvid u)</w:t>
      </w:r>
      <w:r w:rsidRPr="00EB290C">
        <w:rPr>
          <w:lang w:val="hr-HR"/>
        </w:rPr>
        <w:t xml:space="preserve"> </w:t>
      </w:r>
      <w:r w:rsidR="00B65B8A">
        <w:rPr>
          <w:u w:val="single"/>
          <w:lang w:val="hr-HR"/>
        </w:rPr>
        <w:t>vezu između</w:t>
      </w:r>
      <w:r w:rsidRPr="00EB290C">
        <w:rPr>
          <w:u w:val="single"/>
          <w:lang w:val="hr-HR"/>
        </w:rPr>
        <w:t xml:space="preserve"> </w:t>
      </w:r>
      <w:r w:rsidR="00456A63">
        <w:rPr>
          <w:lang w:val="hr-HR"/>
        </w:rPr>
        <w:t>određen</w:t>
      </w:r>
      <w:r w:rsidR="00456A63" w:rsidRPr="00B65B8A">
        <w:rPr>
          <w:strike/>
          <w:lang w:val="hr-HR"/>
        </w:rPr>
        <w:t>u</w:t>
      </w:r>
      <w:r w:rsidR="00B65B8A" w:rsidRPr="00B65B8A">
        <w:rPr>
          <w:u w:val="single"/>
          <w:lang w:val="hr-HR"/>
        </w:rPr>
        <w:t>e</w:t>
      </w:r>
      <w:r w:rsidR="00456A63">
        <w:rPr>
          <w:lang w:val="hr-HR"/>
        </w:rPr>
        <w:t xml:space="preserve"> osnovn</w:t>
      </w:r>
      <w:r w:rsidR="00456A63" w:rsidRPr="00B65B8A">
        <w:rPr>
          <w:strike/>
          <w:lang w:val="hr-HR"/>
        </w:rPr>
        <w:t>u</w:t>
      </w:r>
      <w:r w:rsidR="00B65B8A" w:rsidRPr="00B65B8A">
        <w:rPr>
          <w:u w:val="single"/>
          <w:lang w:val="hr-HR"/>
        </w:rPr>
        <w:t>e</w:t>
      </w:r>
      <w:r w:rsidR="00456A63">
        <w:rPr>
          <w:lang w:val="hr-HR"/>
        </w:rPr>
        <w:t xml:space="preserve"> imovin</w:t>
      </w:r>
      <w:r w:rsidR="00456A63" w:rsidRPr="00B65B8A">
        <w:rPr>
          <w:strike/>
          <w:lang w:val="hr-HR"/>
        </w:rPr>
        <w:t>u</w:t>
      </w:r>
      <w:r w:rsidR="00B65B8A" w:rsidRPr="00B65B8A">
        <w:rPr>
          <w:u w:val="single"/>
          <w:lang w:val="hr-HR"/>
        </w:rPr>
        <w:t>e</w:t>
      </w:r>
      <w:r w:rsidR="00456A63">
        <w:rPr>
          <w:lang w:val="hr-HR"/>
        </w:rPr>
        <w:t xml:space="preserve"> ili novčan</w:t>
      </w:r>
      <w:r w:rsidR="00456A63" w:rsidRPr="00B65B8A">
        <w:rPr>
          <w:strike/>
          <w:lang w:val="hr-HR"/>
        </w:rPr>
        <w:t>e</w:t>
      </w:r>
      <w:r w:rsidR="00B65B8A" w:rsidRPr="00B65B8A">
        <w:rPr>
          <w:u w:val="single"/>
          <w:lang w:val="hr-HR"/>
        </w:rPr>
        <w:t>ih</w:t>
      </w:r>
      <w:r w:rsidR="00456A63">
        <w:rPr>
          <w:lang w:val="hr-HR"/>
        </w:rPr>
        <w:t xml:space="preserve"> tokov</w:t>
      </w:r>
      <w:r w:rsidR="00456A63" w:rsidRPr="00B65B8A">
        <w:rPr>
          <w:strike/>
          <w:lang w:val="hr-HR"/>
        </w:rPr>
        <w:t>e</w:t>
      </w:r>
      <w:r w:rsidR="00B65B8A" w:rsidRPr="00B65B8A">
        <w:rPr>
          <w:u w:val="single"/>
          <w:lang w:val="hr-HR"/>
        </w:rPr>
        <w:t>a</w:t>
      </w:r>
      <w:r w:rsidR="00456A63">
        <w:rPr>
          <w:lang w:val="hr-HR"/>
        </w:rPr>
        <w:t xml:space="preserve"> </w:t>
      </w:r>
      <w:r w:rsidR="00B65B8A">
        <w:rPr>
          <w:u w:val="single"/>
          <w:lang w:val="hr-HR"/>
        </w:rPr>
        <w:t>i</w:t>
      </w:r>
      <w:r w:rsidRPr="00EB290C">
        <w:rPr>
          <w:u w:val="single"/>
          <w:lang w:val="hr-HR"/>
        </w:rPr>
        <w:t xml:space="preserve"> </w:t>
      </w:r>
      <w:r w:rsidR="00B65B8A">
        <w:rPr>
          <w:u w:val="single"/>
          <w:lang w:val="hr-HR"/>
        </w:rPr>
        <w:t>ugovornih novčanih tokova finansijske imovine koj</w:t>
      </w:r>
      <w:r w:rsidR="00A33412">
        <w:rPr>
          <w:u w:val="single"/>
          <w:lang w:val="hr-HR"/>
        </w:rPr>
        <w:t>i se</w:t>
      </w:r>
      <w:r w:rsidR="00B65B8A">
        <w:rPr>
          <w:u w:val="single"/>
          <w:lang w:val="hr-HR"/>
        </w:rPr>
        <w:t xml:space="preserve"> klasificira</w:t>
      </w:r>
      <w:r w:rsidR="00A33412">
        <w:rPr>
          <w:u w:val="single"/>
          <w:lang w:val="hr-HR"/>
        </w:rPr>
        <w:t>ju</w:t>
      </w:r>
      <w:r w:rsidRPr="00EB290C">
        <w:rPr>
          <w:u w:val="single"/>
          <w:lang w:val="hr-HR"/>
        </w:rPr>
        <w:t xml:space="preserve"> </w:t>
      </w:r>
      <w:r w:rsidR="00B65B8A">
        <w:rPr>
          <w:lang w:val="hr-HR"/>
        </w:rPr>
        <w:t xml:space="preserve">kako bi odredio jesu li </w:t>
      </w:r>
      <w:r w:rsidR="00B65B8A" w:rsidRPr="00B65B8A">
        <w:rPr>
          <w:u w:val="single"/>
          <w:lang w:val="hr-HR"/>
        </w:rPr>
        <w:t xml:space="preserve">ti </w:t>
      </w:r>
      <w:r w:rsidR="00B65B8A">
        <w:rPr>
          <w:lang w:val="hr-HR"/>
        </w:rPr>
        <w:t xml:space="preserve">ugovorni novčani tokovi </w:t>
      </w:r>
      <w:r w:rsidR="00B65B8A" w:rsidRPr="00B65B8A">
        <w:rPr>
          <w:strike/>
          <w:lang w:val="hr-HR"/>
        </w:rPr>
        <w:t xml:space="preserve">od finansijske imovine koji se klasificiraju </w:t>
      </w:r>
      <w:r w:rsidR="00B65B8A">
        <w:rPr>
          <w:lang w:val="hr-HR"/>
        </w:rPr>
        <w:t>plaćanja glavnice i kamate na nepodmireni iznos glavnice</w:t>
      </w:r>
      <w:r w:rsidRPr="00EB290C">
        <w:rPr>
          <w:lang w:val="hr-HR"/>
        </w:rPr>
        <w:t>.</w:t>
      </w:r>
      <w:r w:rsidRPr="00EB290C">
        <w:rPr>
          <w:u w:val="single"/>
          <w:lang w:val="hr-HR"/>
        </w:rPr>
        <w:t xml:space="preserve"> </w:t>
      </w:r>
      <w:r w:rsidR="00B5363C">
        <w:rPr>
          <w:u w:val="single"/>
          <w:lang w:val="hr-HR"/>
        </w:rPr>
        <w:t xml:space="preserve">Subjekt treba razmotriti i to kako </w:t>
      </w:r>
      <w:r w:rsidR="00A33412">
        <w:rPr>
          <w:u w:val="single"/>
          <w:lang w:val="hr-HR"/>
        </w:rPr>
        <w:t xml:space="preserve">na tu </w:t>
      </w:r>
      <w:r w:rsidR="00B5363C">
        <w:rPr>
          <w:u w:val="single"/>
          <w:lang w:val="hr-HR"/>
        </w:rPr>
        <w:t>vez</w:t>
      </w:r>
      <w:r w:rsidR="00A33412">
        <w:rPr>
          <w:u w:val="single"/>
          <w:lang w:val="hr-HR"/>
        </w:rPr>
        <w:t>u</w:t>
      </w:r>
      <w:r w:rsidR="00B5363C">
        <w:rPr>
          <w:u w:val="single"/>
          <w:lang w:val="hr-HR"/>
        </w:rPr>
        <w:t xml:space="preserve"> utič</w:t>
      </w:r>
      <w:r w:rsidR="00A33412">
        <w:rPr>
          <w:u w:val="single"/>
          <w:lang w:val="hr-HR"/>
        </w:rPr>
        <w:t>u</w:t>
      </w:r>
      <w:r w:rsidR="00B5363C">
        <w:rPr>
          <w:u w:val="single"/>
          <w:lang w:val="hr-HR"/>
        </w:rPr>
        <w:t xml:space="preserve"> </w:t>
      </w:r>
      <w:r w:rsidR="00A33412">
        <w:rPr>
          <w:u w:val="single"/>
          <w:lang w:val="hr-HR"/>
        </w:rPr>
        <w:t>drugi</w:t>
      </w:r>
      <w:r w:rsidR="00B5363C">
        <w:rPr>
          <w:u w:val="single"/>
          <w:lang w:val="hr-HR"/>
        </w:rPr>
        <w:t xml:space="preserve"> ugovorn</w:t>
      </w:r>
      <w:r w:rsidR="00A33412">
        <w:rPr>
          <w:u w:val="single"/>
          <w:lang w:val="hr-HR"/>
        </w:rPr>
        <w:t>i</w:t>
      </w:r>
      <w:r w:rsidR="00B5363C">
        <w:rPr>
          <w:u w:val="single"/>
          <w:lang w:val="hr-HR"/>
        </w:rPr>
        <w:t xml:space="preserve"> aranžman</w:t>
      </w:r>
      <w:r w:rsidR="00A33412">
        <w:rPr>
          <w:u w:val="single"/>
          <w:lang w:val="hr-HR"/>
        </w:rPr>
        <w:t>i</w:t>
      </w:r>
      <w:r w:rsidR="00B5363C">
        <w:rPr>
          <w:u w:val="single"/>
          <w:lang w:val="hr-HR"/>
        </w:rPr>
        <w:t xml:space="preserve">, poput </w:t>
      </w:r>
      <w:r w:rsidR="005E1AA8">
        <w:rPr>
          <w:u w:val="single"/>
          <w:lang w:val="hr-HR"/>
        </w:rPr>
        <w:t>podređenog duga</w:t>
      </w:r>
      <w:r w:rsidRPr="00EB290C">
        <w:rPr>
          <w:u w:val="single"/>
          <w:lang w:val="hr-HR"/>
        </w:rPr>
        <w:t xml:space="preserve"> </w:t>
      </w:r>
      <w:r w:rsidR="00B5363C">
        <w:rPr>
          <w:u w:val="single"/>
          <w:lang w:val="hr-HR"/>
        </w:rPr>
        <w:t>ili vlasničkih instrumenata koje je</w:t>
      </w:r>
      <w:r w:rsidR="00555655">
        <w:rPr>
          <w:u w:val="single"/>
          <w:lang w:val="hr-HR"/>
        </w:rPr>
        <w:t xml:space="preserve"> izdao</w:t>
      </w:r>
      <w:r w:rsidR="00B5363C">
        <w:rPr>
          <w:u w:val="single"/>
          <w:lang w:val="hr-HR"/>
        </w:rPr>
        <w:t xml:space="preserve"> dužnik</w:t>
      </w:r>
      <w:r w:rsidRPr="00EB290C">
        <w:rPr>
          <w:u w:val="single"/>
          <w:lang w:val="hr-HR"/>
        </w:rPr>
        <w:t>.</w:t>
      </w:r>
      <w:r w:rsidRPr="00EB290C">
        <w:rPr>
          <w:lang w:val="hr-HR"/>
        </w:rPr>
        <w:t xml:space="preserve"> </w:t>
      </w:r>
      <w:r w:rsidR="00B5363C">
        <w:rPr>
          <w:lang w:val="hr-HR"/>
        </w:rPr>
        <w:t>Ako zbog uvjeta finansijske imovine dođe do bi</w:t>
      </w:r>
      <w:r w:rsidR="00555655">
        <w:rPr>
          <w:lang w:val="hr-HR"/>
        </w:rPr>
        <w:t>l</w:t>
      </w:r>
      <w:r w:rsidR="00B5363C">
        <w:rPr>
          <w:lang w:val="hr-HR"/>
        </w:rPr>
        <w:t xml:space="preserve">o kojih drugih novčanih tokova ili ograničenja novčanih tokova na način koji nije u skladu sa plaćanjima koja predstavljaju glavnicu i kamatu, finansijska imovina ne zadovoljava uvjet iz tačaka </w:t>
      </w:r>
      <w:r w:rsidRPr="00EB290C">
        <w:rPr>
          <w:lang w:val="hr-HR"/>
        </w:rPr>
        <w:t>4.1.2</w:t>
      </w:r>
      <w:r w:rsidR="00B5363C">
        <w:rPr>
          <w:lang w:val="hr-HR"/>
        </w:rPr>
        <w:t>. podtačk</w:t>
      </w:r>
      <w:r w:rsidR="00555655">
        <w:rPr>
          <w:lang w:val="hr-HR"/>
        </w:rPr>
        <w:t>a</w:t>
      </w:r>
      <w:r w:rsidR="00B5363C">
        <w:rPr>
          <w:lang w:val="hr-HR"/>
        </w:rPr>
        <w:t xml:space="preserve"> </w:t>
      </w:r>
      <w:r w:rsidRPr="00EB290C">
        <w:rPr>
          <w:lang w:val="hr-HR"/>
        </w:rPr>
        <w:t xml:space="preserve">(b) </w:t>
      </w:r>
      <w:r w:rsidR="00B5363C">
        <w:rPr>
          <w:lang w:val="hr-HR"/>
        </w:rPr>
        <w:t xml:space="preserve">i </w:t>
      </w:r>
      <w:r w:rsidRPr="00EB290C">
        <w:rPr>
          <w:lang w:val="hr-HR"/>
        </w:rPr>
        <w:t>4.1.2A</w:t>
      </w:r>
      <w:r w:rsidR="00B5363C">
        <w:rPr>
          <w:lang w:val="hr-HR"/>
        </w:rPr>
        <w:t>. podtačk</w:t>
      </w:r>
      <w:r w:rsidR="00555655">
        <w:rPr>
          <w:lang w:val="hr-HR"/>
        </w:rPr>
        <w:t>a</w:t>
      </w:r>
      <w:r w:rsidR="00B5363C">
        <w:rPr>
          <w:lang w:val="hr-HR"/>
        </w:rPr>
        <w:t xml:space="preserve"> </w:t>
      </w:r>
      <w:r w:rsidRPr="00EB290C">
        <w:rPr>
          <w:lang w:val="hr-HR"/>
        </w:rPr>
        <w:t xml:space="preserve">(b). </w:t>
      </w:r>
      <w:r w:rsidR="00B5363C">
        <w:rPr>
          <w:lang w:val="hr-HR"/>
        </w:rPr>
        <w:t>Činjenica je li osnovna imovina finansijska ili nefinansijska ne utječe sama po sebi na ovu procjenu</w:t>
      </w:r>
      <w:r w:rsidRPr="00EB290C">
        <w:rPr>
          <w:lang w:val="hr-HR"/>
        </w:rPr>
        <w:t>.</w:t>
      </w:r>
    </w:p>
    <w:p w14:paraId="4FE05548" w14:textId="77777777" w:rsidR="00F5158D" w:rsidRPr="00EB290C" w:rsidRDefault="00B34096">
      <w:pPr>
        <w:pStyle w:val="IASBNormalnpara"/>
        <w:rPr>
          <w:lang w:val="hr-HR"/>
        </w:rPr>
      </w:pPr>
      <w:r w:rsidRPr="00EB290C">
        <w:rPr>
          <w:lang w:val="hr-HR"/>
        </w:rPr>
        <w:tab/>
        <w:t>...</w:t>
      </w:r>
    </w:p>
    <w:p w14:paraId="6C348D16" w14:textId="4345E38C" w:rsidR="00F5158D" w:rsidRPr="00EB290C" w:rsidRDefault="00CF6900">
      <w:pPr>
        <w:pStyle w:val="IASBSectionTitle4Ind"/>
        <w:rPr>
          <w:lang w:val="hr-HR"/>
        </w:rPr>
      </w:pPr>
      <w:r>
        <w:rPr>
          <w:lang w:val="hr-HR"/>
        </w:rPr>
        <w:t xml:space="preserve">Ugovorno povezani instrumenti </w:t>
      </w:r>
    </w:p>
    <w:p w14:paraId="37156E58" w14:textId="102A8948" w:rsidR="00F5158D" w:rsidRPr="00EB290C" w:rsidRDefault="00B34096">
      <w:pPr>
        <w:pStyle w:val="IASBNormalnpara"/>
        <w:rPr>
          <w:lang w:val="hr-HR"/>
        </w:rPr>
      </w:pPr>
      <w:r w:rsidRPr="00EB290C">
        <w:rPr>
          <w:lang w:val="hr-HR"/>
        </w:rPr>
        <w:t>B4.1.20</w:t>
      </w:r>
      <w:r w:rsidRPr="00EB290C">
        <w:rPr>
          <w:lang w:val="hr-HR"/>
        </w:rPr>
        <w:tab/>
      </w:r>
      <w:r w:rsidR="00CF6900">
        <w:rPr>
          <w:lang w:val="hr-HR"/>
        </w:rPr>
        <w:t>U nekim vrstama transakcija</w:t>
      </w:r>
      <w:r w:rsidRPr="00EB290C">
        <w:rPr>
          <w:u w:val="single"/>
          <w:lang w:val="hr-HR"/>
        </w:rPr>
        <w:t xml:space="preserve"> </w:t>
      </w:r>
      <w:r w:rsidR="00CF6900">
        <w:rPr>
          <w:u w:val="single"/>
          <w:lang w:val="hr-HR"/>
        </w:rPr>
        <w:t>sa obilježjima transakcija bez prava naplate</w:t>
      </w:r>
      <w:r w:rsidRPr="00EB290C">
        <w:rPr>
          <w:lang w:val="hr-HR"/>
        </w:rPr>
        <w:t xml:space="preserve">, </w:t>
      </w:r>
      <w:r w:rsidR="00CF6900">
        <w:rPr>
          <w:lang w:val="hr-HR"/>
        </w:rPr>
        <w:t>izdavatelj može utvrditi prioritetna plaćanja imatelju finansijske imovine koristeći višestruke ugovorno povezane instrumente</w:t>
      </w:r>
      <w:r w:rsidRPr="00EB290C">
        <w:rPr>
          <w:lang w:val="hr-HR"/>
        </w:rPr>
        <w:t xml:space="preserve"> </w:t>
      </w:r>
      <w:r w:rsidR="00CF6900">
        <w:rPr>
          <w:strike/>
          <w:lang w:val="hr-HR"/>
        </w:rPr>
        <w:t>koji stvaraju koncentraciju kreditnog rizika</w:t>
      </w:r>
      <w:r w:rsidRPr="00EB290C">
        <w:rPr>
          <w:strike/>
          <w:lang w:val="hr-HR"/>
        </w:rPr>
        <w:t xml:space="preserve"> </w:t>
      </w:r>
      <w:r w:rsidRPr="00EB290C">
        <w:rPr>
          <w:lang w:val="hr-HR"/>
        </w:rPr>
        <w:t>(</w:t>
      </w:r>
      <w:r w:rsidR="00CF6900">
        <w:rPr>
          <w:lang w:val="hr-HR"/>
        </w:rPr>
        <w:t>tranše</w:t>
      </w:r>
      <w:r w:rsidRPr="00EB290C">
        <w:rPr>
          <w:lang w:val="hr-HR"/>
        </w:rPr>
        <w:t xml:space="preserve">). </w:t>
      </w:r>
      <w:r w:rsidR="00CF6900">
        <w:rPr>
          <w:lang w:val="hr-HR"/>
        </w:rPr>
        <w:t xml:space="preserve">Svaka tranša ima oznaku podređenosti koja određuje redoslijed kojim se bilo </w:t>
      </w:r>
      <w:r w:rsidR="00901493">
        <w:rPr>
          <w:lang w:val="hr-HR"/>
        </w:rPr>
        <w:t xml:space="preserve">koji </w:t>
      </w:r>
      <w:r w:rsidR="00CF6900">
        <w:rPr>
          <w:lang w:val="hr-HR"/>
        </w:rPr>
        <w:t xml:space="preserve">novčani tokovi koje stvori izdavatelj </w:t>
      </w:r>
      <w:r w:rsidR="000E6251">
        <w:rPr>
          <w:u w:val="single"/>
          <w:lang w:val="hr-HR"/>
        </w:rPr>
        <w:t xml:space="preserve">iz </w:t>
      </w:r>
      <w:r w:rsidR="00084AED">
        <w:rPr>
          <w:u w:val="single"/>
          <w:lang w:val="hr-HR"/>
        </w:rPr>
        <w:t xml:space="preserve">osnovne </w:t>
      </w:r>
      <w:r w:rsidR="000E6251">
        <w:rPr>
          <w:u w:val="single"/>
          <w:lang w:val="hr-HR"/>
        </w:rPr>
        <w:t>skupine</w:t>
      </w:r>
      <w:r w:rsidR="00901493">
        <w:rPr>
          <w:u w:val="single"/>
          <w:lang w:val="hr-HR"/>
        </w:rPr>
        <w:t xml:space="preserve"> finansijskih instrumen</w:t>
      </w:r>
      <w:r w:rsidR="00084AED">
        <w:rPr>
          <w:u w:val="single"/>
          <w:lang w:val="hr-HR"/>
        </w:rPr>
        <w:t>a</w:t>
      </w:r>
      <w:r w:rsidR="00901493">
        <w:rPr>
          <w:u w:val="single"/>
          <w:lang w:val="hr-HR"/>
        </w:rPr>
        <w:t>ta</w:t>
      </w:r>
      <w:r w:rsidR="00084AED">
        <w:rPr>
          <w:u w:val="single"/>
          <w:lang w:val="hr-HR"/>
        </w:rPr>
        <w:t xml:space="preserve"> </w:t>
      </w:r>
      <w:r w:rsidRPr="00EB290C">
        <w:rPr>
          <w:lang w:val="hr-HR"/>
        </w:rPr>
        <w:t>a</w:t>
      </w:r>
      <w:r w:rsidR="00901493">
        <w:rPr>
          <w:lang w:val="hr-HR"/>
        </w:rPr>
        <w:t>lociraju na tranše</w:t>
      </w:r>
      <w:r w:rsidRPr="00EB290C">
        <w:rPr>
          <w:lang w:val="hr-HR"/>
        </w:rPr>
        <w:t>.</w:t>
      </w:r>
      <w:r w:rsidRPr="00EB290C">
        <w:rPr>
          <w:u w:val="single"/>
          <w:lang w:val="hr-HR"/>
        </w:rPr>
        <w:t xml:space="preserve"> </w:t>
      </w:r>
      <w:r w:rsidR="00084AED">
        <w:rPr>
          <w:u w:val="single"/>
          <w:lang w:val="hr-HR"/>
        </w:rPr>
        <w:t>Prioritiziranje</w:t>
      </w:r>
      <w:r w:rsidR="000E6251">
        <w:rPr>
          <w:u w:val="single"/>
          <w:lang w:val="hr-HR"/>
        </w:rPr>
        <w:t xml:space="preserve"> plaćanja imatelju</w:t>
      </w:r>
      <w:r w:rsidR="00530EC7">
        <w:rPr>
          <w:u w:val="single"/>
          <w:lang w:val="hr-HR"/>
        </w:rPr>
        <w:t xml:space="preserve"> tih tranši se ustanovljuje posredstvom </w:t>
      </w:r>
      <w:r w:rsidR="00A870D8">
        <w:rPr>
          <w:u w:val="single"/>
          <w:lang w:val="hr-HR"/>
        </w:rPr>
        <w:t>kaskadne</w:t>
      </w:r>
      <w:r w:rsidR="006235A6">
        <w:rPr>
          <w:u w:val="single"/>
          <w:lang w:val="hr-HR"/>
        </w:rPr>
        <w:t xml:space="preserve"> </w:t>
      </w:r>
      <w:r w:rsidR="00530EC7">
        <w:rPr>
          <w:u w:val="single"/>
          <w:lang w:val="hr-HR"/>
        </w:rPr>
        <w:t xml:space="preserve">strukture </w:t>
      </w:r>
      <w:r w:rsidR="006235A6">
        <w:rPr>
          <w:u w:val="single"/>
          <w:lang w:val="hr-HR"/>
        </w:rPr>
        <w:t xml:space="preserve">plaćanja </w:t>
      </w:r>
      <w:r w:rsidR="00530EC7">
        <w:rPr>
          <w:u w:val="single"/>
          <w:lang w:val="hr-HR"/>
        </w:rPr>
        <w:t xml:space="preserve">kojom se stvaraju koncentracije kreditnog rizika i vodi nerazmjernim alokacijama </w:t>
      </w:r>
      <w:r w:rsidR="00EE14E1">
        <w:rPr>
          <w:u w:val="single"/>
          <w:lang w:val="hr-HR"/>
        </w:rPr>
        <w:t>nedostatka očekivanog novčanog priliva</w:t>
      </w:r>
      <w:r w:rsidRPr="00EB290C">
        <w:rPr>
          <w:u w:val="single"/>
          <w:lang w:val="hr-HR"/>
        </w:rPr>
        <w:t xml:space="preserve"> </w:t>
      </w:r>
      <w:r w:rsidR="00530EC7">
        <w:rPr>
          <w:u w:val="single"/>
          <w:lang w:val="hr-HR"/>
        </w:rPr>
        <w:t>iz predmetn</w:t>
      </w:r>
      <w:r w:rsidR="00EE14E1">
        <w:rPr>
          <w:u w:val="single"/>
          <w:lang w:val="hr-HR"/>
        </w:rPr>
        <w:t xml:space="preserve">e skupine </w:t>
      </w:r>
      <w:r w:rsidR="00530EC7">
        <w:rPr>
          <w:u w:val="single"/>
          <w:lang w:val="hr-HR"/>
        </w:rPr>
        <w:t>između tranši</w:t>
      </w:r>
      <w:r w:rsidRPr="00EB290C">
        <w:rPr>
          <w:u w:val="single"/>
          <w:lang w:val="hr-HR"/>
        </w:rPr>
        <w:t>.</w:t>
      </w:r>
      <w:r w:rsidRPr="00EB290C">
        <w:rPr>
          <w:lang w:val="hr-HR"/>
        </w:rPr>
        <w:t xml:space="preserve"> </w:t>
      </w:r>
      <w:r w:rsidR="00A83DA4">
        <w:rPr>
          <w:lang w:val="hr-HR"/>
        </w:rPr>
        <w:t>U takvim situacijama, imatelj tranše ima pravo na plaćanja glavnice i kamate na nepodmirenu glavnicu samo ako izdavatelj stvara dovoljno novčanih tokova za tranše većeg prioriteta</w:t>
      </w:r>
      <w:r w:rsidRPr="00EB290C">
        <w:rPr>
          <w:lang w:val="hr-HR"/>
        </w:rPr>
        <w:t>.</w:t>
      </w:r>
      <w:r w:rsidRPr="00EB290C">
        <w:rPr>
          <w:u w:val="single"/>
          <w:lang w:val="hr-HR"/>
        </w:rPr>
        <w:t xml:space="preserve"> </w:t>
      </w:r>
      <w:r w:rsidR="00457478">
        <w:rPr>
          <w:u w:val="single"/>
          <w:lang w:val="hr-HR"/>
        </w:rPr>
        <w:t>Kod ove vrste</w:t>
      </w:r>
      <w:r w:rsidR="00626647">
        <w:rPr>
          <w:u w:val="single"/>
          <w:lang w:val="hr-HR"/>
        </w:rPr>
        <w:t xml:space="preserve"> transakcija, imatelji </w:t>
      </w:r>
      <w:r w:rsidR="000E6251">
        <w:rPr>
          <w:u w:val="single"/>
          <w:lang w:val="hr-HR"/>
        </w:rPr>
        <w:t>t</w:t>
      </w:r>
      <w:r w:rsidR="00626647">
        <w:rPr>
          <w:u w:val="single"/>
          <w:lang w:val="hr-HR"/>
        </w:rPr>
        <w:t xml:space="preserve">ranše primjenjuju tačke </w:t>
      </w:r>
      <w:r w:rsidRPr="00EB290C">
        <w:rPr>
          <w:u w:val="single"/>
          <w:lang w:val="hr-HR"/>
        </w:rPr>
        <w:t>B4.1.21</w:t>
      </w:r>
      <w:r w:rsidR="00626647">
        <w:rPr>
          <w:u w:val="single"/>
          <w:lang w:val="hr-HR"/>
        </w:rPr>
        <w:t>.-</w:t>
      </w:r>
      <w:r w:rsidRPr="00EB290C">
        <w:rPr>
          <w:u w:val="single"/>
          <w:lang w:val="hr-HR"/>
        </w:rPr>
        <w:t>B4.1.26</w:t>
      </w:r>
      <w:r w:rsidR="00626647">
        <w:rPr>
          <w:u w:val="single"/>
          <w:lang w:val="hr-HR"/>
        </w:rPr>
        <w:t>. umjesto tačke</w:t>
      </w:r>
      <w:r w:rsidRPr="00EB290C">
        <w:rPr>
          <w:u w:val="single"/>
          <w:lang w:val="hr-HR"/>
        </w:rPr>
        <w:t xml:space="preserve"> B4.1.17.</w:t>
      </w:r>
    </w:p>
    <w:p w14:paraId="4C36E86E" w14:textId="41C87D85" w:rsidR="00F5158D" w:rsidRPr="00EB290C" w:rsidRDefault="00B34096">
      <w:pPr>
        <w:pStyle w:val="IASBNormalnpara"/>
        <w:rPr>
          <w:lang w:val="hr-HR"/>
        </w:rPr>
      </w:pPr>
      <w:r w:rsidRPr="00EB290C">
        <w:rPr>
          <w:u w:val="single"/>
          <w:lang w:val="hr-HR"/>
        </w:rPr>
        <w:t>B4.1.20A</w:t>
      </w:r>
      <w:r w:rsidRPr="00EB290C">
        <w:rPr>
          <w:lang w:val="hr-HR"/>
        </w:rPr>
        <w:tab/>
      </w:r>
      <w:r w:rsidR="009511FE">
        <w:rPr>
          <w:u w:val="single"/>
          <w:lang w:val="hr-HR"/>
        </w:rPr>
        <w:t xml:space="preserve">Određene transakcije koje mogu sadržati više dužničkih instrumenata i činiti se da imaju karakteristike opisane u tački </w:t>
      </w:r>
      <w:r w:rsidRPr="00EB290C">
        <w:rPr>
          <w:u w:val="single"/>
          <w:lang w:val="hr-HR"/>
        </w:rPr>
        <w:t xml:space="preserve">B4.1.20 </w:t>
      </w:r>
      <w:r w:rsidR="009511FE">
        <w:rPr>
          <w:u w:val="single"/>
          <w:lang w:val="hr-HR"/>
        </w:rPr>
        <w:t>su</w:t>
      </w:r>
      <w:r w:rsidRPr="00EB290C">
        <w:rPr>
          <w:u w:val="single"/>
          <w:lang w:val="hr-HR"/>
        </w:rPr>
        <w:t xml:space="preserve">, </w:t>
      </w:r>
      <w:r w:rsidR="009511FE">
        <w:rPr>
          <w:u w:val="single"/>
          <w:lang w:val="hr-HR"/>
        </w:rPr>
        <w:t>u stvari, sporazumi o pozajmljivanju koji su strukturirani tako da vjerovniku (ili skupini vjerovnik</w:t>
      </w:r>
      <w:r w:rsidR="00457478">
        <w:rPr>
          <w:u w:val="single"/>
          <w:lang w:val="hr-HR"/>
        </w:rPr>
        <w:t>a</w:t>
      </w:r>
      <w:r w:rsidR="009511FE">
        <w:rPr>
          <w:u w:val="single"/>
          <w:lang w:val="hr-HR"/>
        </w:rPr>
        <w:t xml:space="preserve">) pruže veću zaštitu kredita. Primjerice, </w:t>
      </w:r>
      <w:r w:rsidR="000B7D4E">
        <w:rPr>
          <w:u w:val="single"/>
          <w:lang w:val="hr-HR"/>
        </w:rPr>
        <w:t>mogao bi se uspo</w:t>
      </w:r>
      <w:r w:rsidR="00457478">
        <w:rPr>
          <w:u w:val="single"/>
          <w:lang w:val="hr-HR"/>
        </w:rPr>
        <w:t>s</w:t>
      </w:r>
      <w:r w:rsidR="000B7D4E">
        <w:rPr>
          <w:u w:val="single"/>
          <w:lang w:val="hr-HR"/>
        </w:rPr>
        <w:t xml:space="preserve">taviti </w:t>
      </w:r>
      <w:r w:rsidR="009511FE">
        <w:rPr>
          <w:u w:val="single"/>
          <w:lang w:val="hr-HR"/>
        </w:rPr>
        <w:t xml:space="preserve">strukturirani subjekt </w:t>
      </w:r>
      <w:r w:rsidR="000B7D4E">
        <w:rPr>
          <w:u w:val="single"/>
          <w:lang w:val="hr-HR"/>
        </w:rPr>
        <w:t>koji bi držao osnovnu imovinu koja će davati novčane tokove za otplatu vjerovnika. Takav strukturirani subjekt bi izdavao dužničke instrumente nižeg i višeg ranga. Vjerovnik bi držao viši dužnički instrument i subjekt koji sponzorira strukturirani subjekt koji drži niži dužnički instrument ne bi imao praktičnu mogućnost izbjeći prodaju nižeg instrumenta bez toga da viši dužnički instrument dospije na plaćanje</w:t>
      </w:r>
      <w:r w:rsidRPr="00EB290C">
        <w:rPr>
          <w:u w:val="single"/>
          <w:lang w:val="hr-HR"/>
        </w:rPr>
        <w:t xml:space="preserve">. </w:t>
      </w:r>
      <w:r w:rsidR="000B7D4E">
        <w:rPr>
          <w:u w:val="single"/>
          <w:lang w:val="hr-HR"/>
        </w:rPr>
        <w:t xml:space="preserve">Imatelji takvih dužničkih instrumenata primjenjuju tačke </w:t>
      </w:r>
      <w:r w:rsidRPr="00EB290C">
        <w:rPr>
          <w:u w:val="single"/>
          <w:lang w:val="hr-HR"/>
        </w:rPr>
        <w:t>B4.1.7</w:t>
      </w:r>
      <w:r w:rsidR="000B7D4E">
        <w:rPr>
          <w:u w:val="single"/>
          <w:lang w:val="hr-HR"/>
        </w:rPr>
        <w:t>-</w:t>
      </w:r>
      <w:r w:rsidRPr="00EB290C">
        <w:rPr>
          <w:u w:val="single"/>
          <w:lang w:val="hr-HR"/>
        </w:rPr>
        <w:t>B4.1.19</w:t>
      </w:r>
      <w:r w:rsidR="000B7D4E">
        <w:rPr>
          <w:u w:val="single"/>
          <w:lang w:val="hr-HR"/>
        </w:rPr>
        <w:t>. umjesto tačaka</w:t>
      </w:r>
      <w:r w:rsidRPr="00EB290C">
        <w:rPr>
          <w:u w:val="single"/>
          <w:lang w:val="hr-HR"/>
        </w:rPr>
        <w:t xml:space="preserve"> B4.1.21</w:t>
      </w:r>
      <w:r w:rsidR="000B7D4E">
        <w:rPr>
          <w:u w:val="single"/>
          <w:lang w:val="hr-HR"/>
        </w:rPr>
        <w:t>-</w:t>
      </w:r>
      <w:r w:rsidRPr="00EB290C">
        <w:rPr>
          <w:u w:val="single"/>
          <w:lang w:val="hr-HR"/>
        </w:rPr>
        <w:t>B4.1.26.</w:t>
      </w:r>
    </w:p>
    <w:p w14:paraId="717FA238" w14:textId="159ACA9D" w:rsidR="00F5158D" w:rsidRPr="00EB290C" w:rsidRDefault="00B34096">
      <w:pPr>
        <w:pStyle w:val="IASBNormalnpara"/>
        <w:rPr>
          <w:lang w:val="hr-HR"/>
        </w:rPr>
      </w:pPr>
      <w:r w:rsidRPr="00EB290C">
        <w:rPr>
          <w:lang w:val="hr-HR"/>
        </w:rPr>
        <w:t>B4.1.21</w:t>
      </w:r>
      <w:r w:rsidRPr="00EB290C">
        <w:rPr>
          <w:lang w:val="hr-HR"/>
        </w:rPr>
        <w:tab/>
      </w:r>
      <w:r w:rsidR="000570A4">
        <w:rPr>
          <w:lang w:val="hr-HR"/>
        </w:rPr>
        <w:t>U</w:t>
      </w:r>
      <w:r w:rsidRPr="00EB290C">
        <w:rPr>
          <w:lang w:val="hr-HR"/>
        </w:rPr>
        <w:t xml:space="preserve"> </w:t>
      </w:r>
      <w:r w:rsidR="000570A4">
        <w:rPr>
          <w:strike/>
          <w:lang w:val="hr-HR"/>
        </w:rPr>
        <w:t>takvim</w:t>
      </w:r>
      <w:r w:rsidRPr="00EB290C">
        <w:rPr>
          <w:strike/>
          <w:lang w:val="hr-HR"/>
        </w:rPr>
        <w:t xml:space="preserve"> </w:t>
      </w:r>
      <w:r w:rsidRPr="00EB290C">
        <w:rPr>
          <w:lang w:val="hr-HR"/>
        </w:rPr>
        <w:t>tr</w:t>
      </w:r>
      <w:r w:rsidR="000570A4">
        <w:rPr>
          <w:lang w:val="hr-HR"/>
        </w:rPr>
        <w:t>ansakcijama</w:t>
      </w:r>
      <w:r w:rsidRPr="00EB290C">
        <w:rPr>
          <w:u w:val="single"/>
          <w:lang w:val="hr-HR"/>
        </w:rPr>
        <w:t xml:space="preserve"> </w:t>
      </w:r>
      <w:r w:rsidR="000570A4">
        <w:rPr>
          <w:u w:val="single"/>
          <w:lang w:val="hr-HR"/>
        </w:rPr>
        <w:t xml:space="preserve">koje uključuju ugovorno vezane instrumente, kako </w:t>
      </w:r>
      <w:r w:rsidR="00457478">
        <w:rPr>
          <w:u w:val="single"/>
          <w:lang w:val="hr-HR"/>
        </w:rPr>
        <w:t xml:space="preserve">su </w:t>
      </w:r>
      <w:r w:rsidR="000570A4">
        <w:rPr>
          <w:u w:val="single"/>
          <w:lang w:val="hr-HR"/>
        </w:rPr>
        <w:t>opisan</w:t>
      </w:r>
      <w:r w:rsidR="00457478">
        <w:rPr>
          <w:u w:val="single"/>
          <w:lang w:val="hr-HR"/>
        </w:rPr>
        <w:t>e</w:t>
      </w:r>
      <w:r w:rsidR="000570A4">
        <w:rPr>
          <w:u w:val="single"/>
          <w:lang w:val="hr-HR"/>
        </w:rPr>
        <w:t xml:space="preserve"> u tački </w:t>
      </w:r>
      <w:r w:rsidRPr="00EB290C">
        <w:rPr>
          <w:u w:val="single"/>
          <w:lang w:val="hr-HR"/>
        </w:rPr>
        <w:t>B4.1.20</w:t>
      </w:r>
      <w:r w:rsidRPr="00EB290C">
        <w:rPr>
          <w:lang w:val="hr-HR"/>
        </w:rPr>
        <w:t xml:space="preserve">, </w:t>
      </w:r>
      <w:r w:rsidR="000570A4">
        <w:rPr>
          <w:lang w:val="hr-HR"/>
        </w:rPr>
        <w:t>tranša ima obilježja novčanih tokova koji su plaćanja glavnice i kamate na nepodmireni iznos glavnice samo ako</w:t>
      </w:r>
      <w:r w:rsidRPr="00EB290C">
        <w:rPr>
          <w:lang w:val="hr-HR"/>
        </w:rPr>
        <w:t>:</w:t>
      </w:r>
    </w:p>
    <w:p w14:paraId="487F2B84" w14:textId="77777777" w:rsidR="00F5158D" w:rsidRPr="00EB290C" w:rsidRDefault="00B34096">
      <w:pPr>
        <w:pStyle w:val="IASBNormalnparaL1"/>
        <w:rPr>
          <w:lang w:val="hr-HR"/>
        </w:rPr>
      </w:pPr>
      <w:r w:rsidRPr="00EB290C">
        <w:rPr>
          <w:lang w:val="hr-HR"/>
        </w:rPr>
        <w:t>(a)</w:t>
      </w:r>
      <w:r w:rsidRPr="00EB290C">
        <w:rPr>
          <w:lang w:val="hr-HR"/>
        </w:rPr>
        <w:tab/>
        <w:t>...</w:t>
      </w:r>
    </w:p>
    <w:p w14:paraId="51B53374" w14:textId="72AECF7B" w:rsidR="00F5158D" w:rsidRPr="00EB290C" w:rsidRDefault="00B34096">
      <w:pPr>
        <w:pStyle w:val="IASBNormalnpara"/>
        <w:rPr>
          <w:lang w:val="hr-HR"/>
        </w:rPr>
      </w:pPr>
      <w:r w:rsidRPr="00EB290C">
        <w:rPr>
          <w:lang w:val="hr-HR"/>
        </w:rPr>
        <w:t>B4.1.22</w:t>
      </w:r>
      <w:r w:rsidRPr="00EB290C">
        <w:rPr>
          <w:lang w:val="hr-HR"/>
        </w:rPr>
        <w:tab/>
      </w:r>
      <w:r w:rsidR="000570A4">
        <w:rPr>
          <w:lang w:val="hr-HR"/>
        </w:rPr>
        <w:t>Subjekt treba utvrditi osnovnu skupinu instrumenata koji stvaraju (umjesto da prosljeđuju) novčane tokove. To predstavlja osnovnu skupinu finansijskih instrumenata</w:t>
      </w:r>
      <w:r w:rsidRPr="00EB290C">
        <w:rPr>
          <w:lang w:val="hr-HR"/>
        </w:rPr>
        <w:t>.</w:t>
      </w:r>
    </w:p>
    <w:p w14:paraId="28C3A498" w14:textId="1A8DE9D8" w:rsidR="00F5158D" w:rsidRPr="00EB290C" w:rsidRDefault="00B34096">
      <w:pPr>
        <w:pStyle w:val="IASBNormalnpara"/>
        <w:rPr>
          <w:u w:val="single"/>
          <w:lang w:val="hr-HR"/>
        </w:rPr>
      </w:pPr>
      <w:r w:rsidRPr="00EB290C">
        <w:rPr>
          <w:lang w:val="hr-HR"/>
        </w:rPr>
        <w:t>B4.1.23</w:t>
      </w:r>
      <w:r w:rsidRPr="00EB290C">
        <w:rPr>
          <w:lang w:val="hr-HR"/>
        </w:rPr>
        <w:tab/>
      </w:r>
      <w:r w:rsidR="000570A4">
        <w:rPr>
          <w:lang w:val="hr-HR"/>
        </w:rPr>
        <w:t>Osnovna skupina treba sadržavati jedan ili više instrumenata koji imaju ugovorne novčane tokove koji su samo plaćanje glavnice i kamate na nepodmireni iznos glavnice.</w:t>
      </w:r>
      <w:r w:rsidRPr="00EB290C">
        <w:rPr>
          <w:u w:val="single"/>
          <w:lang w:val="hr-HR"/>
        </w:rPr>
        <w:t xml:space="preserve"> </w:t>
      </w:r>
      <w:r w:rsidR="003C6918">
        <w:rPr>
          <w:u w:val="single"/>
          <w:lang w:val="hr-HR"/>
        </w:rPr>
        <w:t xml:space="preserve">Za potrebe predmetne procjene, u osnovnu </w:t>
      </w:r>
      <w:r w:rsidR="003C6918">
        <w:rPr>
          <w:u w:val="single"/>
          <w:lang w:val="hr-HR"/>
        </w:rPr>
        <w:lastRenderedPageBreak/>
        <w:t xml:space="preserve">skupinu mogu spadati i </w:t>
      </w:r>
      <w:r w:rsidR="00457478">
        <w:rPr>
          <w:u w:val="single"/>
          <w:lang w:val="hr-HR"/>
        </w:rPr>
        <w:t xml:space="preserve">finansijski </w:t>
      </w:r>
      <w:r w:rsidR="003C6918">
        <w:rPr>
          <w:u w:val="single"/>
          <w:lang w:val="hr-HR"/>
        </w:rPr>
        <w:t>instrumenti koji nisu obuhvaćeni djelokrugom zahtjeva u pogledu klasifikacije (vidjeti Odjeljak 4.1), ali imaju ugovorne novčane tokovi koji su jednaki samo plaćanjima glavnice i kamate na nepodmireni iznos glavnice, kao što su određenja potraživanja po osnovu najma</w:t>
      </w:r>
      <w:r w:rsidRPr="00EB290C">
        <w:rPr>
          <w:u w:val="single"/>
          <w:lang w:val="hr-HR"/>
        </w:rPr>
        <w:t xml:space="preserve">. </w:t>
      </w:r>
      <w:r w:rsidR="003C6918">
        <w:rPr>
          <w:u w:val="single"/>
          <w:lang w:val="hr-HR"/>
        </w:rPr>
        <w:t xml:space="preserve">Međutim, potraživanja po osnovu najma koja podliježu riziku rezidualne vrijednosti ili koja čine promjenjiva plaćanja za najam indeksirana prema nekoj varijabli koja nije osnovni rizik </w:t>
      </w:r>
      <w:r w:rsidR="00457478">
        <w:rPr>
          <w:u w:val="single"/>
          <w:lang w:val="hr-HR"/>
        </w:rPr>
        <w:t xml:space="preserve">pozajmljivanja </w:t>
      </w:r>
      <w:r w:rsidR="003C6918">
        <w:rPr>
          <w:u w:val="single"/>
          <w:lang w:val="hr-HR"/>
        </w:rPr>
        <w:t>ili trošak (poput tržišnih stopa najamnina) nemaju ugovorne novčane tokove koji su jednaki samo plaćanjima glavnice i kamate na nepodmireni iznos glavnice</w:t>
      </w:r>
      <w:r w:rsidRPr="00EB290C">
        <w:rPr>
          <w:u w:val="single"/>
          <w:lang w:val="hr-HR"/>
        </w:rPr>
        <w:t>.</w:t>
      </w:r>
    </w:p>
    <w:p w14:paraId="2F83D470" w14:textId="77777777" w:rsidR="00D27655" w:rsidRPr="00EB290C" w:rsidRDefault="00D27655">
      <w:pPr>
        <w:pStyle w:val="IASBNormalnpara"/>
        <w:rPr>
          <w:lang w:val="hr-HR"/>
        </w:rPr>
        <w:sectPr w:rsidR="00D27655" w:rsidRPr="00EB290C">
          <w:headerReference w:type="even" r:id="rId18"/>
          <w:headerReference w:type="default" r:id="rId19"/>
          <w:footerReference w:type="even" r:id="rId20"/>
          <w:footerReference w:type="default" r:id="rId21"/>
          <w:pgSz w:w="11895" w:h="16834"/>
          <w:pgMar w:top="1440" w:right="1440" w:bottom="1440" w:left="1440" w:header="720" w:footer="720" w:gutter="0"/>
          <w:cols w:space="720"/>
        </w:sectPr>
      </w:pPr>
    </w:p>
    <w:p w14:paraId="6F79AAB8" w14:textId="64737C99" w:rsidR="00F5158D" w:rsidRPr="00EB290C" w:rsidRDefault="004D5BB8">
      <w:pPr>
        <w:pStyle w:val="IASBSectionTitle2NonInd"/>
        <w:rPr>
          <w:lang w:val="hr-HR"/>
        </w:rPr>
      </w:pPr>
      <w:r>
        <w:rPr>
          <w:lang w:val="hr-HR"/>
        </w:rPr>
        <w:lastRenderedPageBreak/>
        <w:t xml:space="preserve">Izmjene i dopune MSFI-ja </w:t>
      </w:r>
      <w:r w:rsidR="00B34096" w:rsidRPr="00EB290C">
        <w:rPr>
          <w:lang w:val="hr-HR"/>
        </w:rPr>
        <w:t xml:space="preserve">7 </w:t>
      </w:r>
      <w:r w:rsidR="00B34096" w:rsidRPr="00EB290C">
        <w:rPr>
          <w:i/>
          <w:lang w:val="hr-HR"/>
        </w:rPr>
        <w:t>Fin</w:t>
      </w:r>
      <w:r>
        <w:rPr>
          <w:i/>
          <w:lang w:val="hr-HR"/>
        </w:rPr>
        <w:t xml:space="preserve">ansijski instrumenti: Objavljivanja </w:t>
      </w:r>
    </w:p>
    <w:p w14:paraId="29975379" w14:textId="77777777" w:rsidR="00F5158D" w:rsidRPr="00D54AF9" w:rsidRDefault="00F5158D">
      <w:pPr>
        <w:pStyle w:val="IASBNormalnpara"/>
        <w:rPr>
          <w:sz w:val="22"/>
          <w:szCs w:val="22"/>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F5158D" w:rsidRPr="00EB290C" w14:paraId="5BA33F55" w14:textId="77777777">
        <w:tc>
          <w:tcPr>
            <w:tcW w:w="50" w:type="pct"/>
            <w:tcBorders>
              <w:bottom w:val="single" w:sz="0" w:space="0" w:color="auto"/>
              <w:right w:val="single" w:sz="0" w:space="0" w:color="auto"/>
            </w:tcBorders>
          </w:tcPr>
          <w:p w14:paraId="2D6A21E6" w14:textId="635EB567" w:rsidR="00F5158D" w:rsidRPr="00EB290C" w:rsidRDefault="00244F18">
            <w:pPr>
              <w:pStyle w:val="IASBTableArial"/>
              <w:rPr>
                <w:lang w:val="hr-HR"/>
              </w:rPr>
            </w:pPr>
            <w:r>
              <w:rPr>
                <w:lang w:val="hr-HR"/>
              </w:rPr>
              <w:t xml:space="preserve">Dodane su tačke </w:t>
            </w:r>
            <w:r w:rsidR="00B34096" w:rsidRPr="00EB290C">
              <w:rPr>
                <w:lang w:val="hr-HR"/>
              </w:rPr>
              <w:t>20</w:t>
            </w:r>
            <w:r>
              <w:rPr>
                <w:lang w:val="hr-HR"/>
              </w:rPr>
              <w:t>.</w:t>
            </w:r>
            <w:r w:rsidR="00B34096" w:rsidRPr="00EB290C">
              <w:rPr>
                <w:lang w:val="hr-HR"/>
              </w:rPr>
              <w:t>B, 20</w:t>
            </w:r>
            <w:r>
              <w:rPr>
                <w:lang w:val="hr-HR"/>
              </w:rPr>
              <w:t>.</w:t>
            </w:r>
            <w:r w:rsidR="00B34096" w:rsidRPr="00EB290C">
              <w:rPr>
                <w:lang w:val="hr-HR"/>
              </w:rPr>
              <w:t>C, 20</w:t>
            </w:r>
            <w:r>
              <w:rPr>
                <w:lang w:val="hr-HR"/>
              </w:rPr>
              <w:t>.</w:t>
            </w:r>
            <w:r w:rsidR="00B34096" w:rsidRPr="00EB290C">
              <w:rPr>
                <w:lang w:val="hr-HR"/>
              </w:rPr>
              <w:t>D, 44</w:t>
            </w:r>
            <w:r>
              <w:rPr>
                <w:lang w:val="hr-HR"/>
              </w:rPr>
              <w:t>.</w:t>
            </w:r>
            <w:r w:rsidR="00B34096" w:rsidRPr="00EB290C">
              <w:rPr>
                <w:lang w:val="hr-HR"/>
              </w:rPr>
              <w:t xml:space="preserve">LL </w:t>
            </w:r>
            <w:r>
              <w:rPr>
                <w:lang w:val="hr-HR"/>
              </w:rPr>
              <w:t>i</w:t>
            </w:r>
            <w:r w:rsidR="00B34096" w:rsidRPr="00EB290C">
              <w:rPr>
                <w:lang w:val="hr-HR"/>
              </w:rPr>
              <w:t xml:space="preserve"> 44</w:t>
            </w:r>
            <w:r>
              <w:rPr>
                <w:lang w:val="hr-HR"/>
              </w:rPr>
              <w:t>.</w:t>
            </w:r>
            <w:r w:rsidR="00B34096" w:rsidRPr="00EB290C">
              <w:rPr>
                <w:lang w:val="hr-HR"/>
              </w:rPr>
              <w:t>MM</w:t>
            </w:r>
            <w:r>
              <w:rPr>
                <w:lang w:val="hr-HR"/>
              </w:rPr>
              <w:t xml:space="preserve">. Zbog bolje preglednosti, te tačke nisu podvučene ovdje. Izvršene su i izmjene i dopune tačaka </w:t>
            </w:r>
            <w:r w:rsidR="00B34096" w:rsidRPr="00EB290C">
              <w:rPr>
                <w:lang w:val="hr-HR"/>
              </w:rPr>
              <w:t>11</w:t>
            </w:r>
            <w:r>
              <w:rPr>
                <w:lang w:val="hr-HR"/>
              </w:rPr>
              <w:t>.</w:t>
            </w:r>
            <w:r w:rsidR="00B34096" w:rsidRPr="00EB290C">
              <w:rPr>
                <w:lang w:val="hr-HR"/>
              </w:rPr>
              <w:t xml:space="preserve">A </w:t>
            </w:r>
            <w:r>
              <w:rPr>
                <w:lang w:val="hr-HR"/>
              </w:rPr>
              <w:t>i</w:t>
            </w:r>
            <w:r w:rsidR="00B34096" w:rsidRPr="00EB290C">
              <w:rPr>
                <w:lang w:val="hr-HR"/>
              </w:rPr>
              <w:t xml:space="preserve"> 11</w:t>
            </w:r>
            <w:r>
              <w:rPr>
                <w:lang w:val="hr-HR"/>
              </w:rPr>
              <w:t>.</w:t>
            </w:r>
            <w:r w:rsidR="00B34096" w:rsidRPr="00EB290C">
              <w:rPr>
                <w:lang w:val="hr-HR"/>
              </w:rPr>
              <w:t>B</w:t>
            </w:r>
            <w:r>
              <w:rPr>
                <w:lang w:val="hr-HR"/>
              </w:rPr>
              <w:t xml:space="preserve">. Novi tekst je podvučen a brisani precrtan. </w:t>
            </w:r>
          </w:p>
        </w:tc>
      </w:tr>
    </w:tbl>
    <w:p w14:paraId="20C1845C" w14:textId="77777777" w:rsidR="00F5158D" w:rsidRPr="00EB290C" w:rsidRDefault="00F5158D">
      <w:pPr>
        <w:pStyle w:val="IASBNormalnpara"/>
        <w:rPr>
          <w:lang w:val="hr-HR"/>
        </w:rPr>
      </w:pPr>
    </w:p>
    <w:p w14:paraId="3AFF8727" w14:textId="1E2E964A" w:rsidR="00F5158D" w:rsidRPr="00EB290C" w:rsidRDefault="00E3565A">
      <w:pPr>
        <w:pStyle w:val="IASBSectionTitle1NonInd"/>
        <w:rPr>
          <w:lang w:val="hr-HR"/>
        </w:rPr>
      </w:pPr>
      <w:r>
        <w:rPr>
          <w:lang w:val="hr-HR"/>
        </w:rPr>
        <w:t>Značaj finansijskih instrumenata za finansijski položaj i uspješnost</w:t>
      </w:r>
    </w:p>
    <w:p w14:paraId="77F0B2D0" w14:textId="77777777" w:rsidR="00F5158D" w:rsidRPr="00EB290C" w:rsidRDefault="00B34096">
      <w:pPr>
        <w:pStyle w:val="IASBNormalnpara"/>
        <w:rPr>
          <w:lang w:val="hr-HR"/>
        </w:rPr>
      </w:pPr>
      <w:r w:rsidRPr="00EB290C">
        <w:rPr>
          <w:lang w:val="hr-HR"/>
        </w:rPr>
        <w:tab/>
        <w:t>...</w:t>
      </w:r>
    </w:p>
    <w:p w14:paraId="55A1F93A" w14:textId="77777777" w:rsidR="00D54AF9" w:rsidRDefault="00D54AF9" w:rsidP="00D54AF9">
      <w:pPr>
        <w:pStyle w:val="IASBSectionTitle2Ind"/>
        <w:spacing w:before="100"/>
        <w:rPr>
          <w:sz w:val="2"/>
          <w:szCs w:val="2"/>
          <w:lang w:val="hr-HR"/>
        </w:rPr>
      </w:pPr>
    </w:p>
    <w:p w14:paraId="6808D8FC" w14:textId="02B0D9D9" w:rsidR="00F5158D" w:rsidRPr="00EB290C" w:rsidRDefault="00E3565A">
      <w:pPr>
        <w:pStyle w:val="IASBSectionTitle2Ind"/>
        <w:rPr>
          <w:lang w:val="hr-HR"/>
        </w:rPr>
      </w:pPr>
      <w:r>
        <w:rPr>
          <w:lang w:val="hr-HR"/>
        </w:rPr>
        <w:t xml:space="preserve">Izvještaj o finansijskom položaju </w:t>
      </w:r>
    </w:p>
    <w:p w14:paraId="36792C77" w14:textId="77777777" w:rsidR="00F5158D" w:rsidRPr="00EB290C" w:rsidRDefault="00B34096">
      <w:pPr>
        <w:pStyle w:val="IASBNormalnpara"/>
        <w:rPr>
          <w:lang w:val="hr-HR"/>
        </w:rPr>
      </w:pPr>
      <w:r w:rsidRPr="00EB290C">
        <w:rPr>
          <w:lang w:val="hr-HR"/>
        </w:rPr>
        <w:tab/>
        <w:t>...</w:t>
      </w:r>
    </w:p>
    <w:p w14:paraId="61ABA0CD" w14:textId="5BE6A0FB" w:rsidR="00F5158D" w:rsidRPr="00EB290C" w:rsidRDefault="00222C36">
      <w:pPr>
        <w:pStyle w:val="IASBSectionTitle3Ind"/>
        <w:rPr>
          <w:lang w:val="hr-HR"/>
        </w:rPr>
      </w:pPr>
      <w:r>
        <w:rPr>
          <w:lang w:val="hr-HR"/>
        </w:rPr>
        <w:t xml:space="preserve">Ulaganja u vlasničke instrumente određene po fer vrijednosti kroz ostalu sveobuhvatnu dobit </w:t>
      </w:r>
    </w:p>
    <w:p w14:paraId="1044D4EF" w14:textId="4605CEE4" w:rsidR="00F5158D" w:rsidRPr="00EB290C" w:rsidRDefault="00B34096">
      <w:pPr>
        <w:pStyle w:val="IASBNormalnpara"/>
        <w:rPr>
          <w:lang w:val="hr-HR"/>
        </w:rPr>
      </w:pPr>
      <w:r w:rsidRPr="00EB290C">
        <w:rPr>
          <w:lang w:val="hr-HR"/>
        </w:rPr>
        <w:t>11</w:t>
      </w:r>
      <w:r w:rsidR="00222C36">
        <w:rPr>
          <w:lang w:val="hr-HR"/>
        </w:rPr>
        <w:t>.</w:t>
      </w:r>
      <w:r w:rsidRPr="00EB290C">
        <w:rPr>
          <w:lang w:val="hr-HR"/>
        </w:rPr>
        <w:t>A</w:t>
      </w:r>
      <w:r w:rsidRPr="00EB290C">
        <w:rPr>
          <w:lang w:val="hr-HR"/>
        </w:rPr>
        <w:tab/>
      </w:r>
      <w:r w:rsidR="00222C36">
        <w:rPr>
          <w:lang w:val="hr-HR"/>
        </w:rPr>
        <w:t>Ako je subjekt odredio da se ulaganje u vlasničke instrumente mjeri po fer vrijednosti kroz drugu sveobuhvatnu dobit kako je dozvoljeno tačkom 5.7.5 MSFI-ja 9, dužan je objaviti</w:t>
      </w:r>
      <w:r w:rsidRPr="00EB290C">
        <w:rPr>
          <w:u w:val="single"/>
          <w:lang w:val="hr-HR"/>
        </w:rPr>
        <w:t xml:space="preserve"> </w:t>
      </w:r>
      <w:r w:rsidR="00222C36">
        <w:rPr>
          <w:u w:val="single"/>
          <w:lang w:val="hr-HR"/>
        </w:rPr>
        <w:t>za svaku klasu ulaganja</w:t>
      </w:r>
      <w:r w:rsidRPr="00EB290C">
        <w:rPr>
          <w:lang w:val="hr-HR"/>
        </w:rPr>
        <w:t>:</w:t>
      </w:r>
      <w:r w:rsidR="00222C36">
        <w:rPr>
          <w:lang w:val="hr-HR"/>
        </w:rPr>
        <w:t xml:space="preserve"> </w:t>
      </w:r>
    </w:p>
    <w:p w14:paraId="3BA97CFD" w14:textId="77777777" w:rsidR="00F5158D" w:rsidRPr="00EB290C" w:rsidRDefault="00B34096">
      <w:pPr>
        <w:pStyle w:val="IASBNormalnparaL1"/>
        <w:rPr>
          <w:lang w:val="hr-HR"/>
        </w:rPr>
      </w:pPr>
      <w:r w:rsidRPr="00EB290C">
        <w:rPr>
          <w:lang w:val="hr-HR"/>
        </w:rPr>
        <w:t>(a)</w:t>
      </w:r>
      <w:r w:rsidRPr="00EB290C">
        <w:rPr>
          <w:lang w:val="hr-HR"/>
        </w:rPr>
        <w:tab/>
        <w:t>...</w:t>
      </w:r>
    </w:p>
    <w:p w14:paraId="702CB72C" w14:textId="77777777" w:rsidR="00F5158D" w:rsidRPr="00EB290C" w:rsidRDefault="00B34096">
      <w:pPr>
        <w:pStyle w:val="IASBNormalnparaL1"/>
        <w:rPr>
          <w:lang w:val="hr-HR"/>
        </w:rPr>
      </w:pPr>
      <w:r w:rsidRPr="00EB290C">
        <w:rPr>
          <w:lang w:val="hr-HR"/>
        </w:rPr>
        <w:t>(b)</w:t>
      </w:r>
      <w:r w:rsidRPr="00EB290C">
        <w:rPr>
          <w:lang w:val="hr-HR"/>
        </w:rPr>
        <w:tab/>
        <w:t>...</w:t>
      </w:r>
    </w:p>
    <w:p w14:paraId="7E7BF4D6" w14:textId="4118B26A" w:rsidR="00F5158D" w:rsidRPr="00EB290C" w:rsidRDefault="00B34096">
      <w:pPr>
        <w:pStyle w:val="IASBNormalnparaL1"/>
        <w:rPr>
          <w:lang w:val="hr-HR"/>
        </w:rPr>
      </w:pPr>
      <w:r w:rsidRPr="00EB290C">
        <w:rPr>
          <w:lang w:val="hr-HR"/>
        </w:rPr>
        <w:t>(c)</w:t>
      </w:r>
      <w:r w:rsidRPr="00EB290C">
        <w:rPr>
          <w:lang w:val="hr-HR"/>
        </w:rPr>
        <w:tab/>
      </w:r>
      <w:r w:rsidR="00222C36">
        <w:rPr>
          <w:lang w:val="hr-HR"/>
        </w:rPr>
        <w:t>fer vrijednost</w:t>
      </w:r>
      <w:r w:rsidRPr="00EB290C">
        <w:rPr>
          <w:strike/>
          <w:lang w:val="hr-HR"/>
        </w:rPr>
        <w:t xml:space="preserve"> </w:t>
      </w:r>
      <w:r w:rsidR="00222C36">
        <w:rPr>
          <w:strike/>
          <w:lang w:val="hr-HR"/>
        </w:rPr>
        <w:t>svakog ulaganja</w:t>
      </w:r>
      <w:r w:rsidRPr="00EB290C">
        <w:rPr>
          <w:lang w:val="hr-HR"/>
        </w:rPr>
        <w:t xml:space="preserve"> </w:t>
      </w:r>
      <w:r w:rsidR="00222C36">
        <w:rPr>
          <w:lang w:val="hr-HR"/>
        </w:rPr>
        <w:t xml:space="preserve">na kraju izvještajnog perioda; </w:t>
      </w:r>
    </w:p>
    <w:p w14:paraId="746CBEA2" w14:textId="77777777" w:rsidR="00F5158D" w:rsidRPr="00EB290C" w:rsidRDefault="00B34096">
      <w:pPr>
        <w:pStyle w:val="IASBNormalnparaL1"/>
        <w:rPr>
          <w:lang w:val="hr-HR"/>
        </w:rPr>
      </w:pPr>
      <w:r w:rsidRPr="00EB290C">
        <w:rPr>
          <w:lang w:val="hr-HR"/>
        </w:rPr>
        <w:t>(d)</w:t>
      </w:r>
      <w:r w:rsidRPr="00EB290C">
        <w:rPr>
          <w:lang w:val="hr-HR"/>
        </w:rPr>
        <w:tab/>
        <w:t>...</w:t>
      </w:r>
    </w:p>
    <w:p w14:paraId="0ADA47AA" w14:textId="77777777" w:rsidR="00F5158D" w:rsidRPr="00EB290C" w:rsidRDefault="00B34096">
      <w:pPr>
        <w:pStyle w:val="IASBNormalnparaL1"/>
        <w:rPr>
          <w:lang w:val="hr-HR"/>
        </w:rPr>
      </w:pPr>
      <w:r w:rsidRPr="00EB290C">
        <w:rPr>
          <w:lang w:val="hr-HR"/>
        </w:rPr>
        <w:t>(e)</w:t>
      </w:r>
      <w:r w:rsidRPr="00EB290C">
        <w:rPr>
          <w:lang w:val="hr-HR"/>
        </w:rPr>
        <w:tab/>
        <w:t>...</w:t>
      </w:r>
    </w:p>
    <w:p w14:paraId="72FBED24" w14:textId="175A3AC9" w:rsidR="00F5158D" w:rsidRPr="00EB290C" w:rsidRDefault="00B34096">
      <w:pPr>
        <w:pStyle w:val="IASBNormalnparaL1"/>
        <w:rPr>
          <w:lang w:val="hr-HR"/>
        </w:rPr>
      </w:pPr>
      <w:r w:rsidRPr="00EB290C">
        <w:rPr>
          <w:u w:val="single"/>
          <w:lang w:val="hr-HR"/>
        </w:rPr>
        <w:t>(f)</w:t>
      </w:r>
      <w:r w:rsidRPr="00EB290C">
        <w:rPr>
          <w:lang w:val="hr-HR"/>
        </w:rPr>
        <w:tab/>
      </w:r>
      <w:r w:rsidR="00222C36">
        <w:rPr>
          <w:u w:val="single"/>
          <w:lang w:val="hr-HR"/>
        </w:rPr>
        <w:t>fer vrijednost dobitka ili gubitka prikazanog u ostaloj sveobuhvatnoj dobiti t</w:t>
      </w:r>
      <w:r w:rsidR="00D154CB">
        <w:rPr>
          <w:u w:val="single"/>
          <w:lang w:val="hr-HR"/>
        </w:rPr>
        <w:t>ijekom</w:t>
      </w:r>
      <w:r w:rsidR="00222C36">
        <w:rPr>
          <w:u w:val="single"/>
          <w:lang w:val="hr-HR"/>
        </w:rPr>
        <w:t xml:space="preserve"> perioda, prikazujući odvojeno fer vrijednost dobitka ili gubitka povezanog sa ulaganjima koja se prestalo priznavati t</w:t>
      </w:r>
      <w:r w:rsidR="00D154CB">
        <w:rPr>
          <w:u w:val="single"/>
          <w:lang w:val="hr-HR"/>
        </w:rPr>
        <w:t>ijekom</w:t>
      </w:r>
      <w:r w:rsidR="00222C36">
        <w:rPr>
          <w:u w:val="single"/>
          <w:lang w:val="hr-HR"/>
        </w:rPr>
        <w:t xml:space="preserve"> izvještajnog perioda i fer vrijednost dobitka ili gubitka povezanog sa ulaganjima koja se drže </w:t>
      </w:r>
      <w:r w:rsidR="00457478">
        <w:rPr>
          <w:u w:val="single"/>
          <w:lang w:val="hr-HR"/>
        </w:rPr>
        <w:t xml:space="preserve">na kraju </w:t>
      </w:r>
      <w:r w:rsidR="00222C36">
        <w:rPr>
          <w:u w:val="single"/>
          <w:lang w:val="hr-HR"/>
        </w:rPr>
        <w:t xml:space="preserve">izvještajnog perioda. </w:t>
      </w:r>
    </w:p>
    <w:p w14:paraId="45C57A9C" w14:textId="2BDCC4E5" w:rsidR="00F5158D" w:rsidRPr="00EB290C" w:rsidRDefault="00B34096">
      <w:pPr>
        <w:pStyle w:val="IASBNormalnpara"/>
        <w:rPr>
          <w:lang w:val="hr-HR"/>
        </w:rPr>
      </w:pPr>
      <w:r w:rsidRPr="00EB290C">
        <w:rPr>
          <w:lang w:val="hr-HR"/>
        </w:rPr>
        <w:t>11</w:t>
      </w:r>
      <w:r w:rsidR="00C36005">
        <w:rPr>
          <w:lang w:val="hr-HR"/>
        </w:rPr>
        <w:t>.</w:t>
      </w:r>
      <w:r w:rsidRPr="00EB290C">
        <w:rPr>
          <w:lang w:val="hr-HR"/>
        </w:rPr>
        <w:t>B</w:t>
      </w:r>
      <w:r w:rsidRPr="00EB290C">
        <w:rPr>
          <w:lang w:val="hr-HR"/>
        </w:rPr>
        <w:tab/>
      </w:r>
      <w:r w:rsidR="00C36005">
        <w:rPr>
          <w:lang w:val="hr-HR"/>
        </w:rPr>
        <w:t>Ako subjekt prestaje priznavati ulaganja u vlasničke instrumente mjerene po fer vrijednosti kroz drugu sveobuhvatnu dobit tijekom izvještajnog perioda, dužan je objaviti</w:t>
      </w:r>
      <w:r w:rsidRPr="00EB290C">
        <w:rPr>
          <w:lang w:val="hr-HR"/>
        </w:rPr>
        <w:t>:</w:t>
      </w:r>
    </w:p>
    <w:p w14:paraId="43FD8851" w14:textId="77777777" w:rsidR="00F5158D" w:rsidRPr="00EB290C" w:rsidRDefault="00B34096">
      <w:pPr>
        <w:pStyle w:val="IASBNormalnparaL1"/>
        <w:rPr>
          <w:lang w:val="hr-HR"/>
        </w:rPr>
      </w:pPr>
      <w:r w:rsidRPr="00EB290C">
        <w:rPr>
          <w:lang w:val="hr-HR"/>
        </w:rPr>
        <w:t>(a)</w:t>
      </w:r>
      <w:r w:rsidRPr="00EB290C">
        <w:rPr>
          <w:lang w:val="hr-HR"/>
        </w:rPr>
        <w:tab/>
        <w:t>...</w:t>
      </w:r>
    </w:p>
    <w:p w14:paraId="70635680" w14:textId="77777777" w:rsidR="00F5158D" w:rsidRPr="00EB290C" w:rsidRDefault="00B34096">
      <w:pPr>
        <w:pStyle w:val="IASBNormalnparaL1"/>
        <w:rPr>
          <w:lang w:val="hr-HR"/>
        </w:rPr>
      </w:pPr>
      <w:r w:rsidRPr="00EB290C">
        <w:rPr>
          <w:lang w:val="hr-HR"/>
        </w:rPr>
        <w:t>(b)</w:t>
      </w:r>
      <w:r w:rsidRPr="00EB290C">
        <w:rPr>
          <w:lang w:val="hr-HR"/>
        </w:rPr>
        <w:tab/>
        <w:t>...</w:t>
      </w:r>
    </w:p>
    <w:p w14:paraId="2DFA6CDB" w14:textId="77777777" w:rsidR="00F5158D" w:rsidRPr="00EB290C" w:rsidRDefault="00B34096">
      <w:pPr>
        <w:pStyle w:val="IASBNormalnparaL1"/>
        <w:rPr>
          <w:lang w:val="hr-HR"/>
        </w:rPr>
      </w:pPr>
      <w:r w:rsidRPr="00EB290C">
        <w:rPr>
          <w:lang w:val="hr-HR"/>
        </w:rPr>
        <w:t>(c)</w:t>
      </w:r>
      <w:r w:rsidRPr="00EB290C">
        <w:rPr>
          <w:lang w:val="hr-HR"/>
        </w:rPr>
        <w:tab/>
        <w:t>...</w:t>
      </w:r>
    </w:p>
    <w:p w14:paraId="7B2EC6E0" w14:textId="33EB67A5" w:rsidR="00F5158D" w:rsidRPr="00EB290C" w:rsidRDefault="00B34096">
      <w:pPr>
        <w:pStyle w:val="IASBNormalnparaL1"/>
        <w:rPr>
          <w:lang w:val="hr-HR"/>
        </w:rPr>
      </w:pPr>
      <w:r w:rsidRPr="00EB290C">
        <w:rPr>
          <w:u w:val="single"/>
          <w:lang w:val="hr-HR"/>
        </w:rPr>
        <w:t>(d)</w:t>
      </w:r>
      <w:r w:rsidRPr="00EB290C">
        <w:rPr>
          <w:lang w:val="hr-HR"/>
        </w:rPr>
        <w:tab/>
      </w:r>
      <w:r w:rsidR="00C36005">
        <w:rPr>
          <w:u w:val="single"/>
          <w:lang w:val="hr-HR"/>
        </w:rPr>
        <w:t>sve prijenose kumulativnog dobitka ili gubitka u kapital tijekom izvještajnog perioda koji su povezani sa ulaganjima koje se prestalo priznavati ti</w:t>
      </w:r>
      <w:r w:rsidR="00A476FB">
        <w:rPr>
          <w:u w:val="single"/>
          <w:lang w:val="hr-HR"/>
        </w:rPr>
        <w:t>j</w:t>
      </w:r>
      <w:r w:rsidR="00C36005">
        <w:rPr>
          <w:u w:val="single"/>
          <w:lang w:val="hr-HR"/>
        </w:rPr>
        <w:t xml:space="preserve">ekom izvještajnog perioda. </w:t>
      </w:r>
    </w:p>
    <w:p w14:paraId="4C907DDA" w14:textId="77777777" w:rsidR="00F5158D" w:rsidRPr="00EB290C" w:rsidRDefault="00B34096">
      <w:pPr>
        <w:pStyle w:val="IASBNormalnpara"/>
        <w:rPr>
          <w:lang w:val="hr-HR"/>
        </w:rPr>
      </w:pPr>
      <w:r w:rsidRPr="00EB290C">
        <w:rPr>
          <w:lang w:val="hr-HR"/>
        </w:rPr>
        <w:tab/>
        <w:t>...</w:t>
      </w:r>
    </w:p>
    <w:p w14:paraId="5E390569" w14:textId="2CC54DB2" w:rsidR="00F5158D" w:rsidRPr="00EB290C" w:rsidRDefault="004D5BB8">
      <w:pPr>
        <w:pStyle w:val="IASBSectionTitle2Ind"/>
        <w:rPr>
          <w:lang w:val="hr-HR"/>
        </w:rPr>
      </w:pPr>
      <w:r>
        <w:rPr>
          <w:lang w:val="hr-HR"/>
        </w:rPr>
        <w:t xml:space="preserve">Izvještaj o sveobuhvatnoj dobiti </w:t>
      </w:r>
    </w:p>
    <w:p w14:paraId="4C917897" w14:textId="17AAD11B" w:rsidR="00F5158D" w:rsidRPr="00EB290C" w:rsidRDefault="00A476FB">
      <w:pPr>
        <w:pStyle w:val="IASBSectionTitle3Ind"/>
        <w:rPr>
          <w:lang w:val="hr-HR"/>
        </w:rPr>
      </w:pPr>
      <w:r>
        <w:rPr>
          <w:lang w:val="hr-HR"/>
        </w:rPr>
        <w:t xml:space="preserve">Stavke prihoda, rashoda, dobitaka i gubitaka </w:t>
      </w:r>
    </w:p>
    <w:p w14:paraId="03CC24D5" w14:textId="77777777" w:rsidR="00F5158D" w:rsidRPr="00EB290C" w:rsidRDefault="00B34096">
      <w:pPr>
        <w:pStyle w:val="IASBNormalnpara"/>
        <w:rPr>
          <w:lang w:val="hr-HR"/>
        </w:rPr>
      </w:pPr>
      <w:r w:rsidRPr="00EB290C">
        <w:rPr>
          <w:lang w:val="hr-HR"/>
        </w:rPr>
        <w:tab/>
        <w:t>...</w:t>
      </w:r>
    </w:p>
    <w:p w14:paraId="49ADA90A" w14:textId="10CB080C" w:rsidR="00F5158D" w:rsidRPr="00EB290C" w:rsidRDefault="00B34096">
      <w:pPr>
        <w:pStyle w:val="IASBNormalnpara"/>
        <w:rPr>
          <w:lang w:val="hr-HR"/>
        </w:rPr>
      </w:pPr>
      <w:r w:rsidRPr="00EB290C">
        <w:rPr>
          <w:lang w:val="hr-HR"/>
        </w:rPr>
        <w:t>20</w:t>
      </w:r>
      <w:r w:rsidR="00A476FB">
        <w:rPr>
          <w:lang w:val="hr-HR"/>
        </w:rPr>
        <w:t>.</w:t>
      </w:r>
      <w:r w:rsidRPr="00EB290C">
        <w:rPr>
          <w:lang w:val="hr-HR"/>
        </w:rPr>
        <w:t>B</w:t>
      </w:r>
      <w:r w:rsidRPr="00EB290C">
        <w:rPr>
          <w:lang w:val="hr-HR"/>
        </w:rPr>
        <w:tab/>
      </w:r>
      <w:r w:rsidR="00A476FB">
        <w:rPr>
          <w:lang w:val="hr-HR"/>
        </w:rPr>
        <w:t>Subjekt je</w:t>
      </w:r>
      <w:r w:rsidR="00D154CB">
        <w:rPr>
          <w:lang w:val="hr-HR"/>
        </w:rPr>
        <w:t xml:space="preserve"> </w:t>
      </w:r>
      <w:r w:rsidR="00A476FB">
        <w:rPr>
          <w:lang w:val="hr-HR"/>
        </w:rPr>
        <w:t>informacije koje se zahtijevaju tačkom 20.C dužan objaviti po klas</w:t>
      </w:r>
      <w:r w:rsidR="00AE799A">
        <w:rPr>
          <w:lang w:val="hr-HR"/>
        </w:rPr>
        <w:t>i</w:t>
      </w:r>
      <w:r w:rsidR="00A476FB">
        <w:rPr>
          <w:lang w:val="hr-HR"/>
        </w:rPr>
        <w:t xml:space="preserve"> finansijske imovine koja se mjeri po amortiziranom trošku</w:t>
      </w:r>
      <w:r w:rsidR="00AE799A">
        <w:rPr>
          <w:lang w:val="hr-HR"/>
        </w:rPr>
        <w:t xml:space="preserve">, odnosno po fer vrijednosti kroz ostalu sveobuhvatnu dobit i klasi finansijskih obaveza koje se mjere po amortiziranom trošku. Subjekt treba razmotriti koliko detalja objaviti, odgovarajući stepen objedinjavanja i razdvajanja i to da li korisnicima finansijskih izvještaja trebaju dodatna pojašnjenja kako bi mogli ocijeniti objavljene kvantitativne informacije. </w:t>
      </w:r>
    </w:p>
    <w:p w14:paraId="263ABE2D" w14:textId="1C0F642A" w:rsidR="00F5158D" w:rsidRPr="00EB290C" w:rsidRDefault="00B34096">
      <w:pPr>
        <w:pStyle w:val="IASBNormalnpara"/>
        <w:rPr>
          <w:lang w:val="hr-HR"/>
        </w:rPr>
      </w:pPr>
      <w:r w:rsidRPr="00EB290C">
        <w:rPr>
          <w:lang w:val="hr-HR"/>
        </w:rPr>
        <w:t>20</w:t>
      </w:r>
      <w:r w:rsidR="00E96D9D">
        <w:rPr>
          <w:lang w:val="hr-HR"/>
        </w:rPr>
        <w:t>.</w:t>
      </w:r>
      <w:r w:rsidRPr="00EB290C">
        <w:rPr>
          <w:lang w:val="hr-HR"/>
        </w:rPr>
        <w:t>C</w:t>
      </w:r>
      <w:r w:rsidRPr="00EB290C">
        <w:rPr>
          <w:lang w:val="hr-HR"/>
        </w:rPr>
        <w:tab/>
      </w:r>
      <w:r w:rsidR="00E96D9D">
        <w:rPr>
          <w:lang w:val="hr-HR"/>
        </w:rPr>
        <w:t xml:space="preserve">Kako bi korisnicima finansijskih izvještaja omogućio da razumiju učinke ugovornih uvjeta koji bi mogli promijeniti iznos ugovornih novčanih tokova zavisno od toga da li se desi (ili ne desi) nepredviđeni događaj </w:t>
      </w:r>
      <w:r w:rsidR="00E96D9D">
        <w:rPr>
          <w:lang w:val="hr-HR"/>
        </w:rPr>
        <w:lastRenderedPageBreak/>
        <w:t xml:space="preserve">koji nije izravno povezan s promjenama osnovnih rizika </w:t>
      </w:r>
      <w:r w:rsidR="00D154CB">
        <w:rPr>
          <w:lang w:val="hr-HR"/>
        </w:rPr>
        <w:t xml:space="preserve">pozajmljivanja </w:t>
      </w:r>
      <w:r w:rsidR="00E96D9D">
        <w:rPr>
          <w:lang w:val="hr-HR"/>
        </w:rPr>
        <w:t>i troškova (poput vremenske vrijednosti novca ili kreditnog rizika</w:t>
      </w:r>
      <w:r w:rsidRPr="00EB290C">
        <w:rPr>
          <w:lang w:val="hr-HR"/>
        </w:rPr>
        <w:t xml:space="preserve">), </w:t>
      </w:r>
      <w:r w:rsidR="00E96D9D">
        <w:rPr>
          <w:lang w:val="hr-HR"/>
        </w:rPr>
        <w:t>subjekt je dužan objaviti</w:t>
      </w:r>
      <w:r w:rsidRPr="00EB290C">
        <w:rPr>
          <w:lang w:val="hr-HR"/>
        </w:rPr>
        <w:t>:</w:t>
      </w:r>
    </w:p>
    <w:p w14:paraId="369E7A26" w14:textId="6147C7EE" w:rsidR="00F5158D" w:rsidRPr="00EB290C" w:rsidRDefault="00B34096">
      <w:pPr>
        <w:pStyle w:val="IASBNormalnparaL1"/>
        <w:rPr>
          <w:lang w:val="hr-HR"/>
        </w:rPr>
      </w:pPr>
      <w:r w:rsidRPr="00EB290C">
        <w:rPr>
          <w:lang w:val="hr-HR"/>
        </w:rPr>
        <w:t>(a)</w:t>
      </w:r>
      <w:r w:rsidRPr="00EB290C">
        <w:rPr>
          <w:lang w:val="hr-HR"/>
        </w:rPr>
        <w:tab/>
      </w:r>
      <w:r w:rsidR="00E96D9D">
        <w:rPr>
          <w:lang w:val="hr-HR"/>
        </w:rPr>
        <w:t xml:space="preserve">kvalitativni opis prirode nepredviđenog događaja; </w:t>
      </w:r>
    </w:p>
    <w:p w14:paraId="78C0C750" w14:textId="02F93076" w:rsidR="00F5158D" w:rsidRPr="00EB290C" w:rsidRDefault="00B34096">
      <w:pPr>
        <w:pStyle w:val="IASBNormalnparaL1"/>
        <w:rPr>
          <w:lang w:val="hr-HR"/>
        </w:rPr>
      </w:pPr>
      <w:r w:rsidRPr="00EB290C">
        <w:rPr>
          <w:lang w:val="hr-HR"/>
        </w:rPr>
        <w:t>(b)</w:t>
      </w:r>
      <w:r w:rsidRPr="00EB290C">
        <w:rPr>
          <w:lang w:val="hr-HR"/>
        </w:rPr>
        <w:tab/>
      </w:r>
      <w:r w:rsidR="00E96D9D">
        <w:rPr>
          <w:lang w:val="hr-HR"/>
        </w:rPr>
        <w:t xml:space="preserve">kvantitativne informacije o mogućim promjenama ugovornih novčanih tokova koje bi mogle proisteći iz tih ugovornih uvjeta </w:t>
      </w:r>
      <w:r w:rsidRPr="00EB290C">
        <w:rPr>
          <w:lang w:val="hr-HR"/>
        </w:rPr>
        <w:t>(</w:t>
      </w:r>
      <w:r w:rsidR="00E96D9D">
        <w:rPr>
          <w:lang w:val="hr-HR"/>
        </w:rPr>
        <w:t xml:space="preserve">primjerice, spektar mogućih promjena); i </w:t>
      </w:r>
    </w:p>
    <w:p w14:paraId="16AB3B28" w14:textId="68C5428D" w:rsidR="00F5158D" w:rsidRPr="00EB290C" w:rsidRDefault="00B34096">
      <w:pPr>
        <w:pStyle w:val="IASBNormalnparaL1"/>
        <w:rPr>
          <w:lang w:val="hr-HR"/>
        </w:rPr>
      </w:pPr>
      <w:r w:rsidRPr="00EB290C">
        <w:rPr>
          <w:lang w:val="hr-HR"/>
        </w:rPr>
        <w:t>(c)</w:t>
      </w:r>
      <w:r w:rsidRPr="00EB290C">
        <w:rPr>
          <w:lang w:val="hr-HR"/>
        </w:rPr>
        <w:tab/>
      </w:r>
      <w:r w:rsidR="00E96D9D">
        <w:rPr>
          <w:lang w:val="hr-HR"/>
        </w:rPr>
        <w:t xml:space="preserve">bruto knjigovodstvenu vrijednost finansijske imovine i amoriziranog troška finansijskih obaveza koji podliježu tim ugovornim uvjetima. </w:t>
      </w:r>
    </w:p>
    <w:p w14:paraId="42092102" w14:textId="34778B74" w:rsidR="00F5158D" w:rsidRPr="00EB290C" w:rsidRDefault="00B34096">
      <w:pPr>
        <w:pStyle w:val="IASBNormalnpara"/>
        <w:rPr>
          <w:lang w:val="hr-HR"/>
        </w:rPr>
      </w:pPr>
      <w:r w:rsidRPr="00EB290C">
        <w:rPr>
          <w:lang w:val="hr-HR"/>
        </w:rPr>
        <w:t>20</w:t>
      </w:r>
      <w:r w:rsidR="00AE799A">
        <w:rPr>
          <w:lang w:val="hr-HR"/>
        </w:rPr>
        <w:t>.</w:t>
      </w:r>
      <w:r w:rsidRPr="00EB290C">
        <w:rPr>
          <w:lang w:val="hr-HR"/>
        </w:rPr>
        <w:t>D</w:t>
      </w:r>
      <w:r w:rsidRPr="00EB290C">
        <w:rPr>
          <w:lang w:val="hr-HR"/>
        </w:rPr>
        <w:tab/>
      </w:r>
      <w:r w:rsidR="00E96D9D">
        <w:rPr>
          <w:lang w:val="hr-HR"/>
        </w:rPr>
        <w:t xml:space="preserve">Primjera radi, subjekt treba objaviti informacije koje se zahtijevaju tačkom </w:t>
      </w:r>
      <w:r w:rsidRPr="00EB290C">
        <w:rPr>
          <w:lang w:val="hr-HR"/>
        </w:rPr>
        <w:t>20</w:t>
      </w:r>
      <w:r w:rsidR="00E96D9D">
        <w:rPr>
          <w:lang w:val="hr-HR"/>
        </w:rPr>
        <w:t>.</w:t>
      </w:r>
      <w:r w:rsidRPr="00EB290C">
        <w:rPr>
          <w:lang w:val="hr-HR"/>
        </w:rPr>
        <w:t xml:space="preserve">C </w:t>
      </w:r>
      <w:r w:rsidR="00E96D9D">
        <w:rPr>
          <w:lang w:val="hr-HR"/>
        </w:rPr>
        <w:t xml:space="preserve">za klasu finansijskih obaveza </w:t>
      </w:r>
      <w:r w:rsidR="002E53D1">
        <w:rPr>
          <w:lang w:val="hr-HR"/>
        </w:rPr>
        <w:t xml:space="preserve">koje se mjere po amortiziranom trošku </w:t>
      </w:r>
      <w:r w:rsidR="008B78C3">
        <w:rPr>
          <w:lang w:val="hr-HR"/>
        </w:rPr>
        <w:t xml:space="preserve">i </w:t>
      </w:r>
      <w:r w:rsidR="002E53D1">
        <w:rPr>
          <w:lang w:val="hr-HR"/>
        </w:rPr>
        <w:t xml:space="preserve">čiji ugovorni novčani tokovi se mijenjaju ako subjekt ostvari smanjenje emisije ugljika. </w:t>
      </w:r>
    </w:p>
    <w:p w14:paraId="73441B65" w14:textId="77777777" w:rsidR="00F5158D" w:rsidRPr="00EB290C" w:rsidRDefault="00B34096">
      <w:pPr>
        <w:pStyle w:val="IASBNormalnpara"/>
        <w:rPr>
          <w:lang w:val="hr-HR"/>
        </w:rPr>
      </w:pPr>
      <w:r w:rsidRPr="00EB290C">
        <w:rPr>
          <w:lang w:val="hr-HR"/>
        </w:rPr>
        <w:tab/>
        <w:t>...</w:t>
      </w:r>
    </w:p>
    <w:p w14:paraId="16DBF172" w14:textId="45D23B1E" w:rsidR="00F5158D" w:rsidRPr="00EB290C" w:rsidRDefault="00E86322">
      <w:pPr>
        <w:pStyle w:val="IASBSectionTitle1NonInd"/>
        <w:rPr>
          <w:lang w:val="hr-HR"/>
        </w:rPr>
      </w:pPr>
      <w:r>
        <w:rPr>
          <w:lang w:val="hr-HR"/>
        </w:rPr>
        <w:t>Datum stupanja na snagu i prijelazne odredbe</w:t>
      </w:r>
    </w:p>
    <w:p w14:paraId="0ECA70B8" w14:textId="77777777" w:rsidR="00F5158D" w:rsidRPr="00EB290C" w:rsidRDefault="00B34096">
      <w:pPr>
        <w:pStyle w:val="IASBNormalnpara"/>
        <w:rPr>
          <w:lang w:val="hr-HR"/>
        </w:rPr>
      </w:pPr>
      <w:r w:rsidRPr="00EB290C">
        <w:rPr>
          <w:lang w:val="hr-HR"/>
        </w:rPr>
        <w:tab/>
        <w:t>...</w:t>
      </w:r>
    </w:p>
    <w:p w14:paraId="0752EF35" w14:textId="3164EABE" w:rsidR="00F5158D" w:rsidRPr="00EB290C" w:rsidRDefault="00B34096">
      <w:pPr>
        <w:pStyle w:val="IASBNormalnpara"/>
        <w:rPr>
          <w:lang w:val="hr-HR"/>
        </w:rPr>
      </w:pPr>
      <w:r w:rsidRPr="00EB290C">
        <w:rPr>
          <w:lang w:val="hr-HR"/>
        </w:rPr>
        <w:t>44</w:t>
      </w:r>
      <w:r w:rsidR="00AE799A">
        <w:rPr>
          <w:lang w:val="hr-HR"/>
        </w:rPr>
        <w:t>.</w:t>
      </w:r>
      <w:r w:rsidRPr="00EB290C">
        <w:rPr>
          <w:lang w:val="hr-HR"/>
        </w:rPr>
        <w:t>LL</w:t>
      </w:r>
      <w:r w:rsidRPr="00EB290C">
        <w:rPr>
          <w:lang w:val="hr-HR"/>
        </w:rPr>
        <w:tab/>
      </w:r>
      <w:r w:rsidR="00E86322">
        <w:rPr>
          <w:i/>
          <w:lang w:val="hr-HR"/>
        </w:rPr>
        <w:t>Izmjen</w:t>
      </w:r>
      <w:r w:rsidR="008B78C3">
        <w:rPr>
          <w:i/>
          <w:lang w:val="hr-HR"/>
        </w:rPr>
        <w:t>ama</w:t>
      </w:r>
      <w:r w:rsidR="00E86322">
        <w:rPr>
          <w:i/>
          <w:lang w:val="hr-HR"/>
        </w:rPr>
        <w:t xml:space="preserve"> i dopun</w:t>
      </w:r>
      <w:r w:rsidR="008B78C3">
        <w:rPr>
          <w:i/>
          <w:lang w:val="hr-HR"/>
        </w:rPr>
        <w:t>ama</w:t>
      </w:r>
      <w:r w:rsidR="00E86322">
        <w:rPr>
          <w:i/>
          <w:lang w:val="hr-HR"/>
        </w:rPr>
        <w:t xml:space="preserve"> klasifikacije i mjerenja finansijskih instrumenata</w:t>
      </w:r>
      <w:r w:rsidRPr="00EB290C">
        <w:rPr>
          <w:lang w:val="hr-HR"/>
        </w:rPr>
        <w:t>, i</w:t>
      </w:r>
      <w:r w:rsidR="00E86322">
        <w:rPr>
          <w:lang w:val="hr-HR"/>
        </w:rPr>
        <w:t>zdatim u maju 2024. godine</w:t>
      </w:r>
      <w:r w:rsidRPr="00EB290C">
        <w:rPr>
          <w:lang w:val="hr-HR"/>
        </w:rPr>
        <w:t xml:space="preserve">, </w:t>
      </w:r>
      <w:r w:rsidR="00E86322">
        <w:rPr>
          <w:lang w:val="hr-HR"/>
        </w:rPr>
        <w:t xml:space="preserve">uvedene su tačke </w:t>
      </w:r>
      <w:r w:rsidRPr="00EB290C">
        <w:rPr>
          <w:lang w:val="hr-HR"/>
        </w:rPr>
        <w:t>20</w:t>
      </w:r>
      <w:r w:rsidR="00E86322">
        <w:rPr>
          <w:lang w:val="hr-HR"/>
        </w:rPr>
        <w:t>.</w:t>
      </w:r>
      <w:r w:rsidRPr="00EB290C">
        <w:rPr>
          <w:lang w:val="hr-HR"/>
        </w:rPr>
        <w:t>B, 20</w:t>
      </w:r>
      <w:r w:rsidR="00E86322">
        <w:rPr>
          <w:lang w:val="hr-HR"/>
        </w:rPr>
        <w:t>.</w:t>
      </w:r>
      <w:r w:rsidRPr="00EB290C">
        <w:rPr>
          <w:lang w:val="hr-HR"/>
        </w:rPr>
        <w:t xml:space="preserve">C </w:t>
      </w:r>
      <w:r w:rsidR="00E86322">
        <w:rPr>
          <w:lang w:val="hr-HR"/>
        </w:rPr>
        <w:t>i</w:t>
      </w:r>
      <w:r w:rsidRPr="00EB290C">
        <w:rPr>
          <w:lang w:val="hr-HR"/>
        </w:rPr>
        <w:t xml:space="preserve"> 20</w:t>
      </w:r>
      <w:r w:rsidR="00E86322">
        <w:rPr>
          <w:lang w:val="hr-HR"/>
        </w:rPr>
        <w:t>.</w:t>
      </w:r>
      <w:r w:rsidRPr="00EB290C">
        <w:rPr>
          <w:lang w:val="hr-HR"/>
        </w:rPr>
        <w:t>D</w:t>
      </w:r>
      <w:r w:rsidR="00E86322">
        <w:rPr>
          <w:lang w:val="hr-HR"/>
        </w:rPr>
        <w:t xml:space="preserve">, te izvršene izmjene i dopune tačaka </w:t>
      </w:r>
      <w:r w:rsidRPr="00EB290C">
        <w:rPr>
          <w:lang w:val="hr-HR"/>
        </w:rPr>
        <w:t>11</w:t>
      </w:r>
      <w:r w:rsidR="00E86322">
        <w:rPr>
          <w:lang w:val="hr-HR"/>
        </w:rPr>
        <w:t>.</w:t>
      </w:r>
      <w:r w:rsidRPr="00EB290C">
        <w:rPr>
          <w:lang w:val="hr-HR"/>
        </w:rPr>
        <w:t xml:space="preserve">A </w:t>
      </w:r>
      <w:r w:rsidR="00E86322">
        <w:rPr>
          <w:lang w:val="hr-HR"/>
        </w:rPr>
        <w:t>i</w:t>
      </w:r>
      <w:r w:rsidRPr="00EB290C">
        <w:rPr>
          <w:lang w:val="hr-HR"/>
        </w:rPr>
        <w:t xml:space="preserve"> 11</w:t>
      </w:r>
      <w:r w:rsidR="00E86322">
        <w:rPr>
          <w:lang w:val="hr-HR"/>
        </w:rPr>
        <w:t>.</w:t>
      </w:r>
      <w:r w:rsidRPr="00EB290C">
        <w:rPr>
          <w:lang w:val="hr-HR"/>
        </w:rPr>
        <w:t xml:space="preserve">B. </w:t>
      </w:r>
      <w:r w:rsidR="00E86322">
        <w:rPr>
          <w:lang w:val="hr-HR"/>
        </w:rPr>
        <w:t xml:space="preserve">Subjekt te izmjene i dopune treba primjenjivati kada primjenjuje izmjene i dopune MSFI-ja </w:t>
      </w:r>
      <w:r w:rsidRPr="00EB290C">
        <w:rPr>
          <w:lang w:val="hr-HR"/>
        </w:rPr>
        <w:t xml:space="preserve">9 </w:t>
      </w:r>
      <w:r w:rsidR="00E86322">
        <w:rPr>
          <w:lang w:val="hr-HR"/>
        </w:rPr>
        <w:t xml:space="preserve">u skladu sa tačkama </w:t>
      </w:r>
      <w:r w:rsidRPr="00EB290C">
        <w:rPr>
          <w:lang w:val="hr-HR"/>
        </w:rPr>
        <w:t>7.1.12</w:t>
      </w:r>
      <w:r w:rsidR="00E86322">
        <w:rPr>
          <w:lang w:val="hr-HR"/>
        </w:rPr>
        <w:t xml:space="preserve"> i </w:t>
      </w:r>
      <w:r w:rsidRPr="00EB290C">
        <w:rPr>
          <w:lang w:val="hr-HR"/>
        </w:rPr>
        <w:t xml:space="preserve">7.1.13 </w:t>
      </w:r>
      <w:r w:rsidR="00E86322">
        <w:rPr>
          <w:lang w:val="hr-HR"/>
        </w:rPr>
        <w:t>MSFI-ja</w:t>
      </w:r>
      <w:r w:rsidRPr="00EB290C">
        <w:rPr>
          <w:lang w:val="hr-HR"/>
        </w:rPr>
        <w:t xml:space="preserve"> 9. </w:t>
      </w:r>
      <w:r w:rsidR="00E86322">
        <w:rPr>
          <w:lang w:val="hr-HR"/>
        </w:rPr>
        <w:t xml:space="preserve">Ako odabere primjenjivati samo izmjene i dopune Smjernica za primjenu na Odjeljak </w:t>
      </w:r>
      <w:r w:rsidRPr="00EB290C">
        <w:rPr>
          <w:lang w:val="hr-HR"/>
        </w:rPr>
        <w:t xml:space="preserve">4.1 </w:t>
      </w:r>
      <w:r w:rsidR="00E86322">
        <w:rPr>
          <w:lang w:val="hr-HR"/>
        </w:rPr>
        <w:t>MSFI-ja</w:t>
      </w:r>
      <w:r w:rsidRPr="00EB290C">
        <w:rPr>
          <w:lang w:val="hr-HR"/>
        </w:rPr>
        <w:t xml:space="preserve"> 9 (</w:t>
      </w:r>
      <w:r w:rsidR="00E86322">
        <w:rPr>
          <w:lang w:val="hr-HR"/>
        </w:rPr>
        <w:t>Klasifikacija finansijske imovine</w:t>
      </w:r>
      <w:r w:rsidRPr="00EB290C">
        <w:rPr>
          <w:lang w:val="hr-HR"/>
        </w:rPr>
        <w:t xml:space="preserve">) </w:t>
      </w:r>
      <w:r w:rsidR="00E86322">
        <w:rPr>
          <w:lang w:val="hr-HR"/>
        </w:rPr>
        <w:t xml:space="preserve">za raniji period u skladu sa tačkom </w:t>
      </w:r>
      <w:r w:rsidRPr="00EB290C">
        <w:rPr>
          <w:lang w:val="hr-HR"/>
        </w:rPr>
        <w:t>7.1.13</w:t>
      </w:r>
      <w:r w:rsidR="00E86322">
        <w:rPr>
          <w:lang w:val="hr-HR"/>
        </w:rPr>
        <w:t xml:space="preserve">. podtačka </w:t>
      </w:r>
      <w:r w:rsidRPr="00EB290C">
        <w:rPr>
          <w:lang w:val="hr-HR"/>
        </w:rPr>
        <w:t xml:space="preserve">(b) </w:t>
      </w:r>
      <w:r w:rsidR="00E86322">
        <w:rPr>
          <w:lang w:val="hr-HR"/>
        </w:rPr>
        <w:t xml:space="preserve">MSFI-ja </w:t>
      </w:r>
      <w:r w:rsidRPr="00EB290C">
        <w:rPr>
          <w:lang w:val="hr-HR"/>
        </w:rPr>
        <w:t xml:space="preserve">9, </w:t>
      </w:r>
      <w:r w:rsidR="00E86322">
        <w:rPr>
          <w:lang w:val="hr-HR"/>
        </w:rPr>
        <w:t xml:space="preserve">subjekt također mora u isto vrijeme primjenjivati i tačke </w:t>
      </w:r>
      <w:r w:rsidRPr="00EB290C">
        <w:rPr>
          <w:lang w:val="hr-HR"/>
        </w:rPr>
        <w:t>20</w:t>
      </w:r>
      <w:r w:rsidR="00E86322">
        <w:rPr>
          <w:lang w:val="hr-HR"/>
        </w:rPr>
        <w:t>.</w:t>
      </w:r>
      <w:r w:rsidRPr="00EB290C">
        <w:rPr>
          <w:lang w:val="hr-HR"/>
        </w:rPr>
        <w:t>B, 20</w:t>
      </w:r>
      <w:r w:rsidR="00E86322">
        <w:rPr>
          <w:lang w:val="hr-HR"/>
        </w:rPr>
        <w:t>.</w:t>
      </w:r>
      <w:r w:rsidRPr="00EB290C">
        <w:rPr>
          <w:lang w:val="hr-HR"/>
        </w:rPr>
        <w:t xml:space="preserve">C </w:t>
      </w:r>
      <w:r w:rsidR="00E86322">
        <w:rPr>
          <w:lang w:val="hr-HR"/>
        </w:rPr>
        <w:t>i</w:t>
      </w:r>
      <w:r w:rsidRPr="00EB290C">
        <w:rPr>
          <w:lang w:val="hr-HR"/>
        </w:rPr>
        <w:t xml:space="preserve"> 20</w:t>
      </w:r>
      <w:r w:rsidR="00E86322">
        <w:rPr>
          <w:lang w:val="hr-HR"/>
        </w:rPr>
        <w:t>.</w:t>
      </w:r>
      <w:r w:rsidRPr="00EB290C">
        <w:rPr>
          <w:lang w:val="hr-HR"/>
        </w:rPr>
        <w:t>D o</w:t>
      </w:r>
      <w:r w:rsidR="00E86322">
        <w:rPr>
          <w:lang w:val="hr-HR"/>
        </w:rPr>
        <w:t>vog Standarda.</w:t>
      </w:r>
      <w:r w:rsidRPr="00EB290C">
        <w:rPr>
          <w:lang w:val="hr-HR"/>
        </w:rPr>
        <w:t xml:space="preserve"> </w:t>
      </w:r>
      <w:r w:rsidR="00E86322">
        <w:rPr>
          <w:lang w:val="hr-HR"/>
        </w:rPr>
        <w:t xml:space="preserve">U svakom slučaju, subjekt nije dužan objaviti informacije koje se zahtijevaju predmetnim izmjenama i dopunama za </w:t>
      </w:r>
      <w:r w:rsidR="008B78C3">
        <w:rPr>
          <w:lang w:val="hr-HR"/>
        </w:rPr>
        <w:t xml:space="preserve">bilo koji </w:t>
      </w:r>
      <w:r w:rsidR="00E86322">
        <w:rPr>
          <w:lang w:val="hr-HR"/>
        </w:rPr>
        <w:t xml:space="preserve">period koji </w:t>
      </w:r>
      <w:r w:rsidR="008B78C3">
        <w:rPr>
          <w:lang w:val="hr-HR"/>
        </w:rPr>
        <w:t>je</w:t>
      </w:r>
      <w:r w:rsidR="00E86322">
        <w:rPr>
          <w:lang w:val="hr-HR"/>
        </w:rPr>
        <w:t xml:space="preserve"> prikazan prije datuma kada prvi put primijeni izmjene i dopune</w:t>
      </w:r>
      <w:r w:rsidRPr="00EB290C">
        <w:rPr>
          <w:lang w:val="hr-HR"/>
        </w:rPr>
        <w:t>.</w:t>
      </w:r>
    </w:p>
    <w:p w14:paraId="0E7F5329" w14:textId="1D724E7A" w:rsidR="00F5158D" w:rsidRPr="00EB290C" w:rsidRDefault="00B34096">
      <w:pPr>
        <w:pStyle w:val="IASBNormalnpara"/>
        <w:rPr>
          <w:lang w:val="hr-HR"/>
        </w:rPr>
      </w:pPr>
      <w:r w:rsidRPr="00EB290C">
        <w:rPr>
          <w:lang w:val="hr-HR"/>
        </w:rPr>
        <w:t>44</w:t>
      </w:r>
      <w:r w:rsidR="00AE799A">
        <w:rPr>
          <w:lang w:val="hr-HR"/>
        </w:rPr>
        <w:t>.</w:t>
      </w:r>
      <w:r w:rsidRPr="00EB290C">
        <w:rPr>
          <w:lang w:val="hr-HR"/>
        </w:rPr>
        <w:t>MM</w:t>
      </w:r>
      <w:r w:rsidRPr="00EB290C">
        <w:rPr>
          <w:lang w:val="hr-HR"/>
        </w:rPr>
        <w:tab/>
      </w:r>
      <w:r w:rsidR="00644165">
        <w:rPr>
          <w:lang w:val="hr-HR"/>
        </w:rPr>
        <w:t xml:space="preserve">U izvještajnom periodu u kojem prvi put primijeni </w:t>
      </w:r>
      <w:r w:rsidR="00644165">
        <w:rPr>
          <w:i/>
          <w:lang w:val="hr-HR"/>
        </w:rPr>
        <w:t>Izmjene i dopune klasifikacije i mjerenja finansijskih instrumenata</w:t>
      </w:r>
      <w:r w:rsidRPr="00EB290C">
        <w:rPr>
          <w:lang w:val="hr-HR"/>
        </w:rPr>
        <w:t xml:space="preserve">, </w:t>
      </w:r>
      <w:r w:rsidR="00644165">
        <w:rPr>
          <w:lang w:val="hr-HR"/>
        </w:rPr>
        <w:t xml:space="preserve">subjekt nije dužan objaviti informacije čije objavljivanje bi inače nalagala tačka </w:t>
      </w:r>
      <w:r w:rsidRPr="00EB290C">
        <w:rPr>
          <w:lang w:val="hr-HR"/>
        </w:rPr>
        <w:t>28</w:t>
      </w:r>
      <w:r w:rsidR="00644165">
        <w:rPr>
          <w:lang w:val="hr-HR"/>
        </w:rPr>
        <w:t xml:space="preserve">. podtačka </w:t>
      </w:r>
      <w:r w:rsidRPr="00EB290C">
        <w:rPr>
          <w:lang w:val="hr-HR"/>
        </w:rPr>
        <w:t xml:space="preserve">(f) </w:t>
      </w:r>
      <w:r w:rsidR="00644165">
        <w:rPr>
          <w:lang w:val="hr-HR"/>
        </w:rPr>
        <w:t>MRS-a</w:t>
      </w:r>
      <w:r w:rsidRPr="00EB290C">
        <w:rPr>
          <w:lang w:val="hr-HR"/>
        </w:rPr>
        <w:t xml:space="preserve"> 8.</w:t>
      </w:r>
    </w:p>
    <w:p w14:paraId="13AF65C0" w14:textId="77777777" w:rsidR="00D27655" w:rsidRPr="00EB290C" w:rsidRDefault="00D27655">
      <w:pPr>
        <w:pStyle w:val="IASBNormalnpara"/>
        <w:rPr>
          <w:lang w:val="hr-HR"/>
        </w:rPr>
        <w:sectPr w:rsidR="00D27655" w:rsidRPr="00EB290C">
          <w:headerReference w:type="even" r:id="rId22"/>
          <w:headerReference w:type="default" r:id="rId23"/>
          <w:footerReference w:type="even" r:id="rId24"/>
          <w:footerReference w:type="default" r:id="rId25"/>
          <w:pgSz w:w="11895" w:h="16834"/>
          <w:pgMar w:top="1440" w:right="1440" w:bottom="1440" w:left="1440" w:header="720" w:footer="720" w:gutter="0"/>
          <w:cols w:space="720"/>
        </w:sectPr>
      </w:pPr>
    </w:p>
    <w:p w14:paraId="4ADF31A5" w14:textId="5D90B3AA" w:rsidR="00F5158D" w:rsidRPr="00EB290C" w:rsidRDefault="00AE799A">
      <w:pPr>
        <w:pStyle w:val="IASBSectionTitle2NonInd"/>
        <w:rPr>
          <w:lang w:val="hr-HR"/>
        </w:rPr>
      </w:pPr>
      <w:r>
        <w:rPr>
          <w:lang w:val="hr-HR"/>
        </w:rPr>
        <w:lastRenderedPageBreak/>
        <w:t>Izmjene i dopune</w:t>
      </w:r>
      <w:r w:rsidR="00B34096" w:rsidRPr="00EB290C">
        <w:rPr>
          <w:lang w:val="hr-HR"/>
        </w:rPr>
        <w:t xml:space="preserve"> </w:t>
      </w:r>
      <w:r>
        <w:rPr>
          <w:lang w:val="hr-HR"/>
        </w:rPr>
        <w:t>MSFI-ja</w:t>
      </w:r>
      <w:r w:rsidR="00B34096" w:rsidRPr="00EB290C">
        <w:rPr>
          <w:lang w:val="hr-HR"/>
        </w:rPr>
        <w:t xml:space="preserve"> 19 </w:t>
      </w:r>
      <w:r w:rsidR="00082380">
        <w:rPr>
          <w:i/>
          <w:lang w:val="hr-HR"/>
        </w:rPr>
        <w:t xml:space="preserve">Zavisna društva bez javne odgovornosti: Objavljivanja </w:t>
      </w:r>
    </w:p>
    <w:p w14:paraId="6F8057F0" w14:textId="77777777" w:rsidR="00F5158D" w:rsidRPr="00EB290C" w:rsidRDefault="00F5158D">
      <w:pPr>
        <w:pStyle w:val="IASBNormalnpara"/>
        <w:rPr>
          <w:lang w:val="hr-HR"/>
        </w:rPr>
      </w:pPr>
    </w:p>
    <w:tbl>
      <w:tblPr>
        <w:tblW w:w="5000" w:type="pct"/>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15"/>
      </w:tblGrid>
      <w:tr w:rsidR="00F5158D" w:rsidRPr="00EB290C" w14:paraId="71D762CE" w14:textId="77777777">
        <w:tc>
          <w:tcPr>
            <w:tcW w:w="50" w:type="pct"/>
            <w:tcBorders>
              <w:bottom w:val="single" w:sz="0" w:space="0" w:color="auto"/>
              <w:right w:val="single" w:sz="0" w:space="0" w:color="auto"/>
            </w:tcBorders>
          </w:tcPr>
          <w:p w14:paraId="29BA7997" w14:textId="7A9D0235" w:rsidR="00F5158D" w:rsidRPr="00EB290C" w:rsidRDefault="00857906">
            <w:pPr>
              <w:pStyle w:val="IASBTableArial"/>
              <w:rPr>
                <w:lang w:val="hr-HR"/>
              </w:rPr>
            </w:pPr>
            <w:r>
              <w:rPr>
                <w:lang w:val="hr-HR"/>
              </w:rPr>
              <w:t>Uvedene su stavke</w:t>
            </w:r>
            <w:bookmarkStart w:id="0" w:name="_GoBack"/>
            <w:bookmarkEnd w:id="0"/>
            <w:r>
              <w:rPr>
                <w:lang w:val="hr-HR"/>
              </w:rPr>
              <w:t xml:space="preserve"> </w:t>
            </w:r>
            <w:r w:rsidR="00B34096" w:rsidRPr="00EB290C">
              <w:rPr>
                <w:lang w:val="hr-HR"/>
              </w:rPr>
              <w:t>56</w:t>
            </w:r>
            <w:r>
              <w:rPr>
                <w:lang w:val="hr-HR"/>
              </w:rPr>
              <w:t>.</w:t>
            </w:r>
            <w:r w:rsidR="00B34096" w:rsidRPr="00EB290C">
              <w:rPr>
                <w:lang w:val="hr-HR"/>
              </w:rPr>
              <w:t>A</w:t>
            </w:r>
            <w:r>
              <w:rPr>
                <w:lang w:val="hr-HR"/>
              </w:rPr>
              <w:t xml:space="preserve">, 56.B, </w:t>
            </w:r>
            <w:r w:rsidR="00B34096" w:rsidRPr="00EB290C">
              <w:rPr>
                <w:lang w:val="hr-HR"/>
              </w:rPr>
              <w:t>56</w:t>
            </w:r>
            <w:r>
              <w:rPr>
                <w:lang w:val="hr-HR"/>
              </w:rPr>
              <w:t>.</w:t>
            </w:r>
            <w:r w:rsidR="00B34096" w:rsidRPr="00EB290C">
              <w:rPr>
                <w:lang w:val="hr-HR"/>
              </w:rPr>
              <w:t xml:space="preserve">C </w:t>
            </w:r>
            <w:r>
              <w:rPr>
                <w:lang w:val="hr-HR"/>
              </w:rPr>
              <w:t>i</w:t>
            </w:r>
            <w:r w:rsidR="00B34096" w:rsidRPr="00EB290C">
              <w:rPr>
                <w:lang w:val="hr-HR"/>
              </w:rPr>
              <w:t xml:space="preserve"> A5</w:t>
            </w:r>
            <w:r w:rsidR="00A5739F">
              <w:rPr>
                <w:lang w:val="hr-HR"/>
              </w:rPr>
              <w:t>.</w:t>
            </w:r>
            <w:r w:rsidR="00B34096" w:rsidRPr="00EB290C">
              <w:rPr>
                <w:lang w:val="hr-HR"/>
              </w:rPr>
              <w:t xml:space="preserve"> </w:t>
            </w:r>
            <w:r>
              <w:rPr>
                <w:lang w:val="hr-HR"/>
              </w:rPr>
              <w:t xml:space="preserve">te naslov ispred tačke </w:t>
            </w:r>
            <w:r w:rsidR="00B34096" w:rsidRPr="00EB290C">
              <w:rPr>
                <w:lang w:val="hr-HR"/>
              </w:rPr>
              <w:t>A5</w:t>
            </w:r>
            <w:r>
              <w:rPr>
                <w:lang w:val="hr-HR"/>
              </w:rPr>
              <w:t xml:space="preserve">. Zbog bolje preglednosti, one nisu podvučene ovdje. </w:t>
            </w:r>
          </w:p>
        </w:tc>
      </w:tr>
    </w:tbl>
    <w:p w14:paraId="6EF66794" w14:textId="77777777" w:rsidR="00F5158D" w:rsidRPr="00EB290C" w:rsidRDefault="00F5158D">
      <w:pPr>
        <w:pStyle w:val="IASBNormalnpara"/>
        <w:rPr>
          <w:lang w:val="hr-HR"/>
        </w:rPr>
      </w:pPr>
    </w:p>
    <w:p w14:paraId="7DF08496" w14:textId="43F69E73" w:rsidR="00F5158D" w:rsidRPr="00EB290C" w:rsidRDefault="00857906">
      <w:pPr>
        <w:pStyle w:val="IASBSectionTitle1NonInd"/>
        <w:rPr>
          <w:lang w:val="hr-HR"/>
        </w:rPr>
      </w:pPr>
      <w:r>
        <w:rPr>
          <w:lang w:val="hr-HR"/>
        </w:rPr>
        <w:t xml:space="preserve">Uvjeti za objavljivanje </w:t>
      </w:r>
    </w:p>
    <w:p w14:paraId="0F1B5705" w14:textId="77777777" w:rsidR="00F5158D" w:rsidRPr="00EB290C" w:rsidRDefault="00B34096">
      <w:pPr>
        <w:pStyle w:val="IASBNormalnpara"/>
        <w:rPr>
          <w:lang w:val="hr-HR"/>
        </w:rPr>
      </w:pPr>
      <w:r w:rsidRPr="00EB290C">
        <w:rPr>
          <w:lang w:val="hr-HR"/>
        </w:rPr>
        <w:tab/>
        <w:t>...</w:t>
      </w:r>
    </w:p>
    <w:p w14:paraId="26E61D48" w14:textId="22DE2EB8" w:rsidR="00F5158D" w:rsidRPr="00EB290C" w:rsidRDefault="00857906">
      <w:pPr>
        <w:pStyle w:val="IASBSectionTitle2Ind"/>
        <w:rPr>
          <w:lang w:val="hr-HR"/>
        </w:rPr>
      </w:pPr>
      <w:r>
        <w:rPr>
          <w:lang w:val="hr-HR"/>
        </w:rPr>
        <w:t>MSFI</w:t>
      </w:r>
      <w:r w:rsidR="00B34096" w:rsidRPr="00EB290C">
        <w:rPr>
          <w:lang w:val="hr-HR"/>
        </w:rPr>
        <w:t xml:space="preserve"> 7 </w:t>
      </w:r>
      <w:r w:rsidR="00B34096" w:rsidRPr="00EB290C">
        <w:rPr>
          <w:i/>
          <w:lang w:val="hr-HR"/>
        </w:rPr>
        <w:t>Finan</w:t>
      </w:r>
      <w:r>
        <w:rPr>
          <w:i/>
          <w:lang w:val="hr-HR"/>
        </w:rPr>
        <w:t>sijski instrumenti</w:t>
      </w:r>
      <w:r w:rsidR="00B34096" w:rsidRPr="00EB290C">
        <w:rPr>
          <w:i/>
          <w:lang w:val="hr-HR"/>
        </w:rPr>
        <w:t xml:space="preserve">: </w:t>
      </w:r>
      <w:r>
        <w:rPr>
          <w:i/>
          <w:lang w:val="hr-HR"/>
        </w:rPr>
        <w:t xml:space="preserve">objavljivanja </w:t>
      </w:r>
    </w:p>
    <w:p w14:paraId="64FE0B0D" w14:textId="77777777" w:rsidR="00F5158D" w:rsidRPr="00EB290C" w:rsidRDefault="00B34096">
      <w:pPr>
        <w:pStyle w:val="IASBNormalnpara"/>
        <w:rPr>
          <w:lang w:val="hr-HR"/>
        </w:rPr>
      </w:pPr>
      <w:r w:rsidRPr="00EB290C">
        <w:rPr>
          <w:lang w:val="hr-HR"/>
        </w:rPr>
        <w:tab/>
        <w:t>...</w:t>
      </w:r>
    </w:p>
    <w:p w14:paraId="00FADEE6" w14:textId="18CA2803" w:rsidR="00F5158D" w:rsidRPr="00EB290C" w:rsidRDefault="00857906">
      <w:pPr>
        <w:pStyle w:val="IASBSectionTitle3Ind"/>
        <w:rPr>
          <w:lang w:val="hr-HR"/>
        </w:rPr>
      </w:pPr>
      <w:r>
        <w:rPr>
          <w:lang w:val="hr-HR"/>
        </w:rPr>
        <w:t xml:space="preserve">Stavke prihoda, rashoda, dobitaka i gubitaka </w:t>
      </w:r>
    </w:p>
    <w:p w14:paraId="3345C39F" w14:textId="77777777" w:rsidR="00F5158D" w:rsidRPr="00EB290C" w:rsidRDefault="00B34096">
      <w:pPr>
        <w:pStyle w:val="IASBNormalnpara"/>
        <w:rPr>
          <w:lang w:val="hr-HR"/>
        </w:rPr>
      </w:pPr>
      <w:r w:rsidRPr="00EB290C">
        <w:rPr>
          <w:lang w:val="hr-HR"/>
        </w:rPr>
        <w:tab/>
        <w:t>...</w:t>
      </w:r>
    </w:p>
    <w:p w14:paraId="166E68BB" w14:textId="32C2788D" w:rsidR="00F5158D" w:rsidRPr="00EB290C" w:rsidRDefault="00B34096">
      <w:pPr>
        <w:pStyle w:val="IASBNormalnpara"/>
        <w:rPr>
          <w:lang w:val="hr-HR"/>
        </w:rPr>
      </w:pPr>
      <w:r w:rsidRPr="00EB290C">
        <w:rPr>
          <w:lang w:val="hr-HR"/>
        </w:rPr>
        <w:t>56</w:t>
      </w:r>
      <w:r w:rsidR="00857906">
        <w:rPr>
          <w:lang w:val="hr-HR"/>
        </w:rPr>
        <w:t>.</w:t>
      </w:r>
      <w:r w:rsidRPr="00EB290C">
        <w:rPr>
          <w:lang w:val="hr-HR"/>
        </w:rPr>
        <w:t>A</w:t>
      </w:r>
      <w:r w:rsidRPr="00EB290C">
        <w:rPr>
          <w:lang w:val="hr-HR"/>
        </w:rPr>
        <w:tab/>
      </w:r>
      <w:r w:rsidR="00B70251">
        <w:rPr>
          <w:lang w:val="hr-HR"/>
        </w:rPr>
        <w:t xml:space="preserve">Subjekt je informacije koje se zahtijevaju stavkom </w:t>
      </w:r>
      <w:r w:rsidRPr="00EB290C">
        <w:rPr>
          <w:lang w:val="hr-HR"/>
        </w:rPr>
        <w:t>56</w:t>
      </w:r>
      <w:r w:rsidR="00B70251">
        <w:rPr>
          <w:lang w:val="hr-HR"/>
        </w:rPr>
        <w:t>.</w:t>
      </w:r>
      <w:r w:rsidRPr="00EB290C">
        <w:rPr>
          <w:lang w:val="hr-HR"/>
        </w:rPr>
        <w:t xml:space="preserve">B </w:t>
      </w:r>
      <w:r w:rsidR="00B70251">
        <w:rPr>
          <w:lang w:val="hr-HR"/>
        </w:rPr>
        <w:t xml:space="preserve">dužan objaviti po klasi finansijske imovine koja se mjeri po amortiziranom trošku, odnosno po fer vrijednosti kroz ostalu sveobuhvatnu dobit i klasi finansijskih obaveza koje se mjere po amortiziranom trošku. Subjekt treba razmotriti koliko detalja objaviti, odgovarajući stepen objedinjavanja i razdvajanja i to da li korisnici finansijskih izvještaju trebaju dodatna pojašnjenja kako bi mogli ocijeniti objavljene kvantitativne informacije. </w:t>
      </w:r>
    </w:p>
    <w:p w14:paraId="3E0917DD" w14:textId="20846162" w:rsidR="00B70251" w:rsidRPr="00EB290C" w:rsidRDefault="00B34096" w:rsidP="00B70251">
      <w:pPr>
        <w:pStyle w:val="IASBNormalnpara"/>
        <w:rPr>
          <w:lang w:val="hr-HR"/>
        </w:rPr>
      </w:pPr>
      <w:r w:rsidRPr="00EB290C">
        <w:rPr>
          <w:lang w:val="hr-HR"/>
        </w:rPr>
        <w:t>56</w:t>
      </w:r>
      <w:r w:rsidR="00857906">
        <w:rPr>
          <w:lang w:val="hr-HR"/>
        </w:rPr>
        <w:t>.</w:t>
      </w:r>
      <w:r w:rsidRPr="00EB290C">
        <w:rPr>
          <w:lang w:val="hr-HR"/>
        </w:rPr>
        <w:t>B</w:t>
      </w:r>
      <w:r w:rsidRPr="00EB290C">
        <w:rPr>
          <w:lang w:val="hr-HR"/>
        </w:rPr>
        <w:tab/>
      </w:r>
      <w:r w:rsidR="00B70251">
        <w:rPr>
          <w:lang w:val="hr-HR"/>
        </w:rPr>
        <w:t xml:space="preserve">Kako bi korisnicima finansijskih izvještaja omogućio da razumiju učinke ugovornih uvjeta koji bi mogli promijeniti iznos ugovornih novčanih tokova zavisno od toga da li se desi (ili ne desi) nepredviđeni događaj koji nije izravno povezan s promjenama osnovnih rizika </w:t>
      </w:r>
      <w:r w:rsidR="00951765">
        <w:rPr>
          <w:lang w:val="hr-HR"/>
        </w:rPr>
        <w:t xml:space="preserve">pozajmljivanja </w:t>
      </w:r>
      <w:r w:rsidR="00B70251">
        <w:rPr>
          <w:lang w:val="hr-HR"/>
        </w:rPr>
        <w:t>i troškova</w:t>
      </w:r>
      <w:r w:rsidR="00951765">
        <w:rPr>
          <w:lang w:val="hr-HR"/>
        </w:rPr>
        <w:t xml:space="preserve"> </w:t>
      </w:r>
      <w:r w:rsidR="00B70251">
        <w:rPr>
          <w:lang w:val="hr-HR"/>
        </w:rPr>
        <w:t>(poput vremenske vrijednosti novca ili kreditnog rizika</w:t>
      </w:r>
      <w:r w:rsidR="00B70251" w:rsidRPr="00EB290C">
        <w:rPr>
          <w:lang w:val="hr-HR"/>
        </w:rPr>
        <w:t xml:space="preserve">), </w:t>
      </w:r>
      <w:r w:rsidR="00B70251">
        <w:rPr>
          <w:lang w:val="hr-HR"/>
        </w:rPr>
        <w:t>subjekt je dužan objaviti:</w:t>
      </w:r>
    </w:p>
    <w:p w14:paraId="7DE55FEF" w14:textId="77777777" w:rsidR="00B70251" w:rsidRPr="00EB290C" w:rsidRDefault="00B70251" w:rsidP="00B70251">
      <w:pPr>
        <w:pStyle w:val="IASBNormalnparaL1"/>
        <w:rPr>
          <w:lang w:val="hr-HR"/>
        </w:rPr>
      </w:pPr>
      <w:r w:rsidRPr="00EB290C">
        <w:rPr>
          <w:lang w:val="hr-HR"/>
        </w:rPr>
        <w:t>(a)</w:t>
      </w:r>
      <w:r w:rsidRPr="00EB290C">
        <w:rPr>
          <w:lang w:val="hr-HR"/>
        </w:rPr>
        <w:tab/>
      </w:r>
      <w:r>
        <w:rPr>
          <w:lang w:val="hr-HR"/>
        </w:rPr>
        <w:t xml:space="preserve">kvalitativni opis prirode nepredviđenog događaja; </w:t>
      </w:r>
    </w:p>
    <w:p w14:paraId="639E4E2E" w14:textId="77777777" w:rsidR="00B70251" w:rsidRPr="00EB290C" w:rsidRDefault="00B70251" w:rsidP="00B70251">
      <w:pPr>
        <w:pStyle w:val="IASBNormalnparaL1"/>
        <w:rPr>
          <w:lang w:val="hr-HR"/>
        </w:rPr>
      </w:pPr>
      <w:r w:rsidRPr="00EB290C">
        <w:rPr>
          <w:lang w:val="hr-HR"/>
        </w:rPr>
        <w:t>(b)</w:t>
      </w:r>
      <w:r w:rsidRPr="00EB290C">
        <w:rPr>
          <w:lang w:val="hr-HR"/>
        </w:rPr>
        <w:tab/>
      </w:r>
      <w:r>
        <w:rPr>
          <w:lang w:val="hr-HR"/>
        </w:rPr>
        <w:t xml:space="preserve">kvantitativne informacije o mogućim promjenama ugovornih novčanih tokova koje bi mogle proisteći iz tih ugovornih uvjeta </w:t>
      </w:r>
      <w:r w:rsidRPr="00EB290C">
        <w:rPr>
          <w:lang w:val="hr-HR"/>
        </w:rPr>
        <w:t>(</w:t>
      </w:r>
      <w:r>
        <w:rPr>
          <w:lang w:val="hr-HR"/>
        </w:rPr>
        <w:t xml:space="preserve">primjerice, spektar mogućih promjena); i </w:t>
      </w:r>
    </w:p>
    <w:p w14:paraId="086F1227" w14:textId="21610DF0" w:rsidR="00B70251" w:rsidRPr="00EB290C" w:rsidRDefault="00B70251" w:rsidP="00B70251">
      <w:pPr>
        <w:pStyle w:val="IASBNormalnparaL1"/>
        <w:rPr>
          <w:lang w:val="hr-HR"/>
        </w:rPr>
      </w:pPr>
      <w:r w:rsidRPr="00EB290C">
        <w:rPr>
          <w:lang w:val="hr-HR"/>
        </w:rPr>
        <w:t>(c)</w:t>
      </w:r>
      <w:r w:rsidRPr="00EB290C">
        <w:rPr>
          <w:lang w:val="hr-HR"/>
        </w:rPr>
        <w:tab/>
      </w:r>
      <w:r>
        <w:rPr>
          <w:lang w:val="hr-HR"/>
        </w:rPr>
        <w:t xml:space="preserve">bruto knjigovodstvenu vrijednost finansijske imovine i amoriziranog troška finansijskih obaveza koji podliježu tim ugovornim uvjetima. </w:t>
      </w:r>
    </w:p>
    <w:p w14:paraId="4A9049BC" w14:textId="6F802226" w:rsidR="00F5158D" w:rsidRPr="00EB290C" w:rsidRDefault="00B34096">
      <w:pPr>
        <w:pStyle w:val="IASBNormalnpara"/>
        <w:rPr>
          <w:lang w:val="hr-HR"/>
        </w:rPr>
      </w:pPr>
      <w:r w:rsidRPr="00EB290C">
        <w:rPr>
          <w:lang w:val="hr-HR"/>
        </w:rPr>
        <w:t>56</w:t>
      </w:r>
      <w:r w:rsidR="00A5739F">
        <w:rPr>
          <w:lang w:val="hr-HR"/>
        </w:rPr>
        <w:t>.</w:t>
      </w:r>
      <w:r w:rsidRPr="00EB290C">
        <w:rPr>
          <w:lang w:val="hr-HR"/>
        </w:rPr>
        <w:t>C</w:t>
      </w:r>
      <w:r w:rsidRPr="00EB290C">
        <w:rPr>
          <w:lang w:val="hr-HR"/>
        </w:rPr>
        <w:tab/>
      </w:r>
      <w:r w:rsidR="00B70251">
        <w:rPr>
          <w:lang w:val="hr-HR"/>
        </w:rPr>
        <w:t xml:space="preserve">Primjera radi, subjekt treba objaviti informacije koje se zahtijevaju tačkom </w:t>
      </w:r>
      <w:r w:rsidR="00A8796B">
        <w:rPr>
          <w:lang w:val="hr-HR"/>
        </w:rPr>
        <w:t>56</w:t>
      </w:r>
      <w:r w:rsidR="00B70251">
        <w:rPr>
          <w:lang w:val="hr-HR"/>
        </w:rPr>
        <w:t>.</w:t>
      </w:r>
      <w:r w:rsidR="00A8796B">
        <w:rPr>
          <w:lang w:val="hr-HR"/>
        </w:rPr>
        <w:t>B</w:t>
      </w:r>
      <w:r w:rsidR="00B70251" w:rsidRPr="00EB290C">
        <w:rPr>
          <w:lang w:val="hr-HR"/>
        </w:rPr>
        <w:t xml:space="preserve"> </w:t>
      </w:r>
      <w:r w:rsidR="00B70251">
        <w:rPr>
          <w:lang w:val="hr-HR"/>
        </w:rPr>
        <w:t>za klasu finansijskih obaveza koje se mjere po amortiziranom trošku čiji ugovorni novčani tokovi se mijenjaju ako subjekt ostvari smanjenje emisije ugljika</w:t>
      </w:r>
      <w:r w:rsidR="00A8796B">
        <w:rPr>
          <w:lang w:val="hr-HR"/>
        </w:rPr>
        <w:t>.</w:t>
      </w:r>
    </w:p>
    <w:p w14:paraId="1C698AC4" w14:textId="77777777" w:rsidR="00F5158D" w:rsidRPr="00EB290C" w:rsidRDefault="00B34096">
      <w:pPr>
        <w:pStyle w:val="IASBNormalnpara"/>
        <w:rPr>
          <w:lang w:val="hr-HR"/>
        </w:rPr>
        <w:sectPr w:rsidR="00F5158D" w:rsidRPr="00EB290C">
          <w:headerReference w:type="even" r:id="rId26"/>
          <w:headerReference w:type="default" r:id="rId27"/>
          <w:footerReference w:type="even" r:id="rId28"/>
          <w:footerReference w:type="default" r:id="rId29"/>
          <w:pgSz w:w="11895" w:h="16834"/>
          <w:pgMar w:top="1440" w:right="1440" w:bottom="1440" w:left="1440" w:header="720" w:footer="720" w:gutter="0"/>
          <w:cols w:space="720"/>
        </w:sectPr>
      </w:pPr>
      <w:r w:rsidRPr="00EB290C">
        <w:rPr>
          <w:lang w:val="hr-HR"/>
        </w:rPr>
        <w:tab/>
        <w:t>...</w:t>
      </w:r>
    </w:p>
    <w:p w14:paraId="17FD3009" w14:textId="740DC87C" w:rsidR="00F5158D" w:rsidRPr="00EB290C" w:rsidRDefault="009C5CE4">
      <w:pPr>
        <w:pStyle w:val="IASBSectionTitle2NonInd"/>
        <w:rPr>
          <w:lang w:val="hr-HR"/>
        </w:rPr>
      </w:pPr>
      <w:r>
        <w:rPr>
          <w:lang w:val="hr-HR"/>
        </w:rPr>
        <w:lastRenderedPageBreak/>
        <w:t>Dodatak</w:t>
      </w:r>
      <w:r w:rsidR="00B34096" w:rsidRPr="00EB290C">
        <w:rPr>
          <w:lang w:val="hr-HR"/>
        </w:rPr>
        <w:t xml:space="preserve"> A</w:t>
      </w:r>
      <w:r>
        <w:rPr>
          <w:lang w:val="hr-HR"/>
        </w:rPr>
        <w:t>: Datum stupanja na snagu i prijelaz</w:t>
      </w:r>
    </w:p>
    <w:p w14:paraId="672890E6" w14:textId="77777777" w:rsidR="00F5158D" w:rsidRPr="00EB290C" w:rsidRDefault="00B34096">
      <w:pPr>
        <w:pStyle w:val="IASBNormalnpara"/>
        <w:rPr>
          <w:lang w:val="hr-HR"/>
        </w:rPr>
      </w:pPr>
      <w:r w:rsidRPr="00EB290C">
        <w:rPr>
          <w:lang w:val="hr-HR"/>
        </w:rPr>
        <w:tab/>
        <w:t>...</w:t>
      </w:r>
    </w:p>
    <w:p w14:paraId="1A4BBA46" w14:textId="6782FF2A" w:rsidR="00F5158D" w:rsidRPr="00EB290C" w:rsidRDefault="009C5CE4">
      <w:pPr>
        <w:pStyle w:val="IASBSectionTitle1NonInd"/>
        <w:rPr>
          <w:lang w:val="hr-HR"/>
        </w:rPr>
      </w:pPr>
      <w:r>
        <w:rPr>
          <w:lang w:val="hr-HR"/>
        </w:rPr>
        <w:t xml:space="preserve">Izmjene i dopune MSFI-ja </w:t>
      </w:r>
      <w:r w:rsidR="00B34096" w:rsidRPr="00EB290C">
        <w:rPr>
          <w:lang w:val="hr-HR"/>
        </w:rPr>
        <w:t xml:space="preserve">7 </w:t>
      </w:r>
      <w:r w:rsidR="00B34096" w:rsidRPr="00EB290C">
        <w:rPr>
          <w:i/>
          <w:lang w:val="hr-HR"/>
        </w:rPr>
        <w:t>F</w:t>
      </w:r>
      <w:r>
        <w:rPr>
          <w:i/>
          <w:lang w:val="hr-HR"/>
        </w:rPr>
        <w:t>inansijski instrumenti: Objavljivanja</w:t>
      </w:r>
    </w:p>
    <w:p w14:paraId="1988FA20" w14:textId="229F4263" w:rsidR="00D27655" w:rsidRPr="00EB290C" w:rsidRDefault="00B34096" w:rsidP="00EA6DE9">
      <w:pPr>
        <w:pStyle w:val="IASBNormalnpara"/>
        <w:rPr>
          <w:lang w:val="hr-HR"/>
        </w:rPr>
      </w:pPr>
      <w:r w:rsidRPr="00EB290C">
        <w:rPr>
          <w:lang w:val="hr-HR"/>
        </w:rPr>
        <w:t>A5</w:t>
      </w:r>
      <w:r w:rsidRPr="00EB290C">
        <w:rPr>
          <w:lang w:val="hr-HR"/>
        </w:rPr>
        <w:tab/>
      </w:r>
      <w:r w:rsidR="00A52F3C">
        <w:rPr>
          <w:i/>
          <w:lang w:val="hr-HR"/>
        </w:rPr>
        <w:t>Izmjen</w:t>
      </w:r>
      <w:r w:rsidR="00951765">
        <w:rPr>
          <w:i/>
          <w:lang w:val="hr-HR"/>
        </w:rPr>
        <w:t>ama</w:t>
      </w:r>
      <w:r w:rsidR="00A52F3C">
        <w:rPr>
          <w:i/>
          <w:lang w:val="hr-HR"/>
        </w:rPr>
        <w:t xml:space="preserve"> i dopun</w:t>
      </w:r>
      <w:r w:rsidR="00951765">
        <w:rPr>
          <w:i/>
          <w:lang w:val="hr-HR"/>
        </w:rPr>
        <w:t>ama</w:t>
      </w:r>
      <w:r w:rsidR="00A52F3C">
        <w:rPr>
          <w:i/>
          <w:lang w:val="hr-HR"/>
        </w:rPr>
        <w:t xml:space="preserve"> klasifikacije i mjerenja finansijskih instrumenata</w:t>
      </w:r>
      <w:r w:rsidR="00A52F3C" w:rsidRPr="00EB290C">
        <w:rPr>
          <w:lang w:val="hr-HR"/>
        </w:rPr>
        <w:t>, i</w:t>
      </w:r>
      <w:r w:rsidR="00A52F3C">
        <w:rPr>
          <w:lang w:val="hr-HR"/>
        </w:rPr>
        <w:t>zdanim u svibnju 2024. godine</w:t>
      </w:r>
      <w:r w:rsidR="00A52F3C" w:rsidRPr="00EB290C">
        <w:rPr>
          <w:lang w:val="hr-HR"/>
        </w:rPr>
        <w:t xml:space="preserve">, </w:t>
      </w:r>
      <w:r w:rsidR="00A52F3C">
        <w:rPr>
          <w:lang w:val="hr-HR"/>
        </w:rPr>
        <w:t xml:space="preserve">uvedene su </w:t>
      </w:r>
      <w:r w:rsidR="003B640C">
        <w:rPr>
          <w:lang w:val="hr-HR"/>
        </w:rPr>
        <w:t>stavke</w:t>
      </w:r>
      <w:r w:rsidR="00A52F3C">
        <w:rPr>
          <w:lang w:val="hr-HR"/>
        </w:rPr>
        <w:t xml:space="preserve"> 56.</w:t>
      </w:r>
      <w:r w:rsidR="00A52F3C" w:rsidRPr="00EB290C">
        <w:rPr>
          <w:lang w:val="hr-HR"/>
        </w:rPr>
        <w:t xml:space="preserve">B, </w:t>
      </w:r>
      <w:r w:rsidR="00A52F3C">
        <w:rPr>
          <w:lang w:val="hr-HR"/>
        </w:rPr>
        <w:t>56.B</w:t>
      </w:r>
      <w:r w:rsidR="00A52F3C" w:rsidRPr="00EB290C">
        <w:rPr>
          <w:lang w:val="hr-HR"/>
        </w:rPr>
        <w:t xml:space="preserve"> </w:t>
      </w:r>
      <w:r w:rsidR="00A52F3C">
        <w:rPr>
          <w:lang w:val="hr-HR"/>
        </w:rPr>
        <w:t>i</w:t>
      </w:r>
      <w:r w:rsidR="00A52F3C" w:rsidRPr="00EB290C">
        <w:rPr>
          <w:lang w:val="hr-HR"/>
        </w:rPr>
        <w:t xml:space="preserve"> </w:t>
      </w:r>
      <w:r w:rsidR="00A52F3C">
        <w:rPr>
          <w:lang w:val="hr-HR"/>
        </w:rPr>
        <w:t xml:space="preserve">56.C. Te izmjene i dopune se primjenjuju na izvještajna razdoblja počevši od 1. siječnja 2026. godine a dozvoljena je i ranija primjena. </w:t>
      </w:r>
      <w:r w:rsidR="003B640C">
        <w:rPr>
          <w:lang w:val="hr-HR"/>
        </w:rPr>
        <w:t xml:space="preserve">Ako ovaj Standard primijeni na godišnja izvještajna razdoblja koja počinju prije 1. siječnja 2026. godine a da na taj raniji period nije primijenio i izmjene i dopune Smjernica za primjenu na Odjeljak 4.1 MSFI-ja </w:t>
      </w:r>
      <w:r w:rsidRPr="00EB290C">
        <w:rPr>
          <w:lang w:val="hr-HR"/>
        </w:rPr>
        <w:t xml:space="preserve">9 </w:t>
      </w:r>
      <w:r w:rsidRPr="00EB290C">
        <w:rPr>
          <w:i/>
          <w:lang w:val="hr-HR"/>
        </w:rPr>
        <w:t>Finan</w:t>
      </w:r>
      <w:r w:rsidR="003B640C">
        <w:rPr>
          <w:i/>
          <w:lang w:val="hr-HR"/>
        </w:rPr>
        <w:t>sijski</w:t>
      </w:r>
      <w:r w:rsidRPr="00EB290C">
        <w:rPr>
          <w:i/>
          <w:lang w:val="hr-HR"/>
        </w:rPr>
        <w:t xml:space="preserve"> </w:t>
      </w:r>
      <w:r w:rsidR="003B640C">
        <w:rPr>
          <w:i/>
          <w:lang w:val="hr-HR"/>
        </w:rPr>
        <w:t>i</w:t>
      </w:r>
      <w:r w:rsidRPr="00EB290C">
        <w:rPr>
          <w:i/>
          <w:lang w:val="hr-HR"/>
        </w:rPr>
        <w:t>nstrument</w:t>
      </w:r>
      <w:r w:rsidR="003B640C">
        <w:rPr>
          <w:i/>
          <w:lang w:val="hr-HR"/>
        </w:rPr>
        <w:t>i</w:t>
      </w:r>
      <w:r w:rsidRPr="00EB290C">
        <w:rPr>
          <w:lang w:val="hr-HR"/>
        </w:rPr>
        <w:t xml:space="preserve"> (</w:t>
      </w:r>
      <w:r w:rsidR="003B640C">
        <w:rPr>
          <w:lang w:val="hr-HR"/>
        </w:rPr>
        <w:t>Klasifikacija finansijske imovine</w:t>
      </w:r>
      <w:r w:rsidRPr="00EB290C">
        <w:rPr>
          <w:lang w:val="hr-HR"/>
        </w:rPr>
        <w:t>)</w:t>
      </w:r>
      <w:r w:rsidR="003B640C">
        <w:rPr>
          <w:lang w:val="hr-HR"/>
        </w:rPr>
        <w:t xml:space="preserve">, </w:t>
      </w:r>
      <w:r w:rsidR="00951765">
        <w:rPr>
          <w:lang w:val="hr-HR"/>
        </w:rPr>
        <w:t>subjekt</w:t>
      </w:r>
      <w:r w:rsidR="003B640C">
        <w:rPr>
          <w:lang w:val="hr-HR"/>
        </w:rPr>
        <w:t xml:space="preserve"> ne treba primjenjivati stavke </w:t>
      </w:r>
      <w:r w:rsidRPr="00EB290C">
        <w:rPr>
          <w:lang w:val="hr-HR"/>
        </w:rPr>
        <w:t>56</w:t>
      </w:r>
      <w:r w:rsidR="003B640C">
        <w:rPr>
          <w:lang w:val="hr-HR"/>
        </w:rPr>
        <w:t>.</w:t>
      </w:r>
      <w:r w:rsidRPr="00EB290C">
        <w:rPr>
          <w:lang w:val="hr-HR"/>
        </w:rPr>
        <w:t>A</w:t>
      </w:r>
      <w:r w:rsidR="003B640C">
        <w:rPr>
          <w:lang w:val="hr-HR"/>
        </w:rPr>
        <w:t xml:space="preserve">, 56. B i </w:t>
      </w:r>
      <w:r w:rsidRPr="00EB290C">
        <w:rPr>
          <w:lang w:val="hr-HR"/>
        </w:rPr>
        <w:t>56</w:t>
      </w:r>
      <w:r w:rsidR="003B640C">
        <w:rPr>
          <w:lang w:val="hr-HR"/>
        </w:rPr>
        <w:t>.</w:t>
      </w:r>
      <w:r w:rsidRPr="00EB290C">
        <w:rPr>
          <w:lang w:val="hr-HR"/>
        </w:rPr>
        <w:t>C.</w:t>
      </w:r>
      <w:r w:rsidR="00A5739F">
        <w:rPr>
          <w:lang w:val="hr-HR"/>
        </w:rPr>
        <w:t xml:space="preserve"> </w:t>
      </w:r>
    </w:p>
    <w:p w14:paraId="7446EC68" w14:textId="77777777" w:rsidR="002F6065" w:rsidRPr="00EB290C" w:rsidRDefault="002F6065">
      <w:pPr>
        <w:rPr>
          <w:lang w:val="hr-HR"/>
        </w:rPr>
      </w:pPr>
    </w:p>
    <w:sectPr w:rsidR="002F6065" w:rsidRPr="00EB290C">
      <w:headerReference w:type="even" r:id="rId30"/>
      <w:headerReference w:type="default" r:id="rId31"/>
      <w:footerReference w:type="even" r:id="rId32"/>
      <w:footerReference w:type="default" r:id="rId33"/>
      <w:pgSz w:w="11895" w:h="16834"/>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4A7C4" w16cex:dateUtc="2025-02-27T19:05:00Z"/>
  <w16cex:commentExtensible w16cex:durableId="6CE9F4FF" w16cex:dateUtc="2025-02-27T19:58:00Z"/>
  <w16cex:commentExtensible w16cex:durableId="4F5264DF" w16cex:dateUtc="2025-02-27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81325" w16cid:durableId="68E4A7C4"/>
  <w16cid:commentId w16cid:paraId="078E523E" w16cid:durableId="6CE9F4FF"/>
  <w16cid:commentId w16cid:paraId="640E5E9E" w16cid:durableId="4F5264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8CBFD" w14:textId="77777777" w:rsidR="0092324B" w:rsidRDefault="0092324B">
      <w:r>
        <w:separator/>
      </w:r>
    </w:p>
  </w:endnote>
  <w:endnote w:type="continuationSeparator" w:id="0">
    <w:p w14:paraId="3318404C" w14:textId="77777777" w:rsidR="0092324B" w:rsidRDefault="009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80F4" w14:textId="69602045" w:rsidR="00F5158D" w:rsidRDefault="00B34096">
    <w:pPr>
      <w:pStyle w:val="Podnoje"/>
    </w:pPr>
    <w:r>
      <w:fldChar w:fldCharType="begin"/>
    </w:r>
    <w:r>
      <w:instrText>PAGE</w:instrText>
    </w:r>
    <w:r>
      <w:fldChar w:fldCharType="separate"/>
    </w:r>
    <w:r>
      <w:rPr>
        <w:noProof/>
      </w:rPr>
      <w:t>2</w:t>
    </w:r>
    <w:r>
      <w:fldChar w:fldCharType="end"/>
    </w:r>
    <w:r>
      <w:tab/>
      <w:t>© IFRS Foundation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DA39" w14:textId="7A1CABB2" w:rsidR="00F5158D" w:rsidRDefault="00B34096">
    <w:pPr>
      <w:pStyle w:val="Podnoje"/>
    </w:pPr>
    <w:r>
      <w:tab/>
      <w:t>© IFRS Foundation</w:t>
    </w:r>
    <w:r>
      <w:tab/>
    </w:r>
    <w:r>
      <w:fldChar w:fldCharType="begin"/>
    </w:r>
    <w:r>
      <w:instrText>PAGE</w:instrText>
    </w:r>
    <w:r>
      <w:fldChar w:fldCharType="separate"/>
    </w:r>
    <w:r>
      <w:rPr>
        <w:noProof/>
      </w:rPr>
      <w:t>11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898F4" w14:textId="6AE2F4E0" w:rsidR="00F5158D" w:rsidRDefault="00B34096">
    <w:pPr>
      <w:pStyle w:val="Podnoje"/>
    </w:pPr>
    <w:r>
      <w:fldChar w:fldCharType="begin"/>
    </w:r>
    <w:r>
      <w:instrText>PAGE</w:instrText>
    </w:r>
    <w:r>
      <w:fldChar w:fldCharType="separate"/>
    </w:r>
    <w:r w:rsidR="00CD041B">
      <w:rPr>
        <w:noProof/>
      </w:rPr>
      <w:t>32</w:t>
    </w:r>
    <w:r>
      <w:fldChar w:fldCharType="end"/>
    </w:r>
    <w:r>
      <w:tab/>
      <w:t>© IFRS Foundation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C62C8" w14:textId="443BF61F" w:rsidR="00F5158D" w:rsidRDefault="00B34096">
    <w:pPr>
      <w:pStyle w:val="Podnoje"/>
    </w:pPr>
    <w:r>
      <w:tab/>
      <w:t>© IFRS Foundation</w:t>
    </w:r>
    <w:r>
      <w:tab/>
    </w:r>
    <w:r>
      <w:fldChar w:fldCharType="begin"/>
    </w:r>
    <w:r>
      <w:instrText>PAGE</w:instrText>
    </w:r>
    <w:r>
      <w:fldChar w:fldCharType="separate"/>
    </w:r>
    <w:r w:rsidR="00930DFD">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C80B" w14:textId="7BFA3737" w:rsidR="00F5158D" w:rsidRDefault="00B34096">
    <w:pPr>
      <w:pStyle w:val="Podnoje"/>
    </w:pPr>
    <w:r>
      <w:tab/>
      <w:t>© IFRS Foundation</w:t>
    </w:r>
    <w:r>
      <w:tab/>
    </w:r>
    <w:r>
      <w:fldChar w:fldCharType="begin"/>
    </w:r>
    <w:r>
      <w:instrText>PAGE</w:instrText>
    </w:r>
    <w:r>
      <w:fldChar w:fldCharType="separate"/>
    </w:r>
    <w:r w:rsidR="00930DF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D6FF" w14:textId="49252E3E" w:rsidR="00F5158D" w:rsidRDefault="00B34096">
    <w:pPr>
      <w:pStyle w:val="Podnoje"/>
    </w:pPr>
    <w:r>
      <w:fldChar w:fldCharType="begin"/>
    </w:r>
    <w:r>
      <w:instrText>PAGE</w:instrText>
    </w:r>
    <w:r>
      <w:fldChar w:fldCharType="separate"/>
    </w:r>
    <w:r w:rsidR="00930DFD">
      <w:rPr>
        <w:noProof/>
      </w:rPr>
      <w:t>2</w:t>
    </w:r>
    <w:r>
      <w:fldChar w:fldCharType="end"/>
    </w:r>
    <w:r>
      <w:tab/>
      <w:t>© IFRS Foundation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D5257" w14:textId="27C2E01E" w:rsidR="00F5158D" w:rsidRDefault="00B34096">
    <w:pPr>
      <w:pStyle w:val="Podnoje"/>
    </w:pPr>
    <w:r>
      <w:tab/>
      <w:t>© IFRS Foundation</w:t>
    </w:r>
    <w:r>
      <w:tab/>
    </w:r>
    <w:r>
      <w:fldChar w:fldCharType="begin"/>
    </w:r>
    <w:r>
      <w:instrText>PAGE</w:instrText>
    </w:r>
    <w:r>
      <w:fldChar w:fldCharType="separate"/>
    </w:r>
    <w:r>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13DDD" w14:textId="7031A19B" w:rsidR="00F5158D" w:rsidRDefault="00B34096">
    <w:pPr>
      <w:pStyle w:val="Podnoje"/>
    </w:pPr>
    <w:r>
      <w:fldChar w:fldCharType="begin"/>
    </w:r>
    <w:r>
      <w:instrText>PAGE</w:instrText>
    </w:r>
    <w:r>
      <w:fldChar w:fldCharType="separate"/>
    </w:r>
    <w:r w:rsidR="00930DFD">
      <w:rPr>
        <w:noProof/>
      </w:rPr>
      <w:t>6</w:t>
    </w:r>
    <w:r>
      <w:fldChar w:fldCharType="end"/>
    </w:r>
    <w:r>
      <w:tab/>
      <w:t>© IFRS Foundation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D65C" w14:textId="326BE4B4" w:rsidR="00F5158D" w:rsidRDefault="00B34096">
    <w:pPr>
      <w:pStyle w:val="Podnoje"/>
    </w:pPr>
    <w:r>
      <w:tab/>
      <w:t>© IFRS Foundation</w:t>
    </w:r>
    <w:r>
      <w:tab/>
    </w:r>
    <w:r>
      <w:fldChar w:fldCharType="begin"/>
    </w:r>
    <w:r>
      <w:instrText>PAGE</w:instrText>
    </w:r>
    <w:r>
      <w:fldChar w:fldCharType="separate"/>
    </w:r>
    <w:r w:rsidR="00930DFD">
      <w:rPr>
        <w:noProof/>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01097" w14:textId="3B11BDCE" w:rsidR="00F5158D" w:rsidRDefault="00B34096">
    <w:pPr>
      <w:pStyle w:val="Podnoje"/>
    </w:pPr>
    <w:r>
      <w:fldChar w:fldCharType="begin"/>
    </w:r>
    <w:r>
      <w:instrText>PAGE</w:instrText>
    </w:r>
    <w:r>
      <w:fldChar w:fldCharType="separate"/>
    </w:r>
    <w:r w:rsidR="00930DFD">
      <w:rPr>
        <w:noProof/>
      </w:rPr>
      <w:t>8</w:t>
    </w:r>
    <w:r>
      <w:fldChar w:fldCharType="end"/>
    </w:r>
    <w:r>
      <w:tab/>
      <w:t>© IFRS Foundation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87E56" w14:textId="32AB6379" w:rsidR="00F5158D" w:rsidRDefault="00B34096">
    <w:pPr>
      <w:pStyle w:val="Podnoje"/>
    </w:pPr>
    <w:r>
      <w:tab/>
      <w:t>© IFRS Foundation</w:t>
    </w:r>
    <w:r>
      <w:tab/>
    </w:r>
    <w:r>
      <w:fldChar w:fldCharType="begin"/>
    </w:r>
    <w:r>
      <w:instrText>PAGE</w:instrText>
    </w:r>
    <w:r>
      <w:fldChar w:fldCharType="separate"/>
    </w:r>
    <w:r w:rsidR="00930DFD">
      <w:rPr>
        <w:noProof/>
      </w:rPr>
      <w:t>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C5D5F" w14:textId="7413F86A" w:rsidR="00F5158D" w:rsidRDefault="00B34096">
    <w:pPr>
      <w:pStyle w:val="Podnoje"/>
    </w:pPr>
    <w:r>
      <w:fldChar w:fldCharType="begin"/>
    </w:r>
    <w:r>
      <w:instrText>PAGE</w:instrText>
    </w:r>
    <w:r>
      <w:fldChar w:fldCharType="separate"/>
    </w:r>
    <w:r w:rsidR="00930DFD">
      <w:rPr>
        <w:noProof/>
      </w:rPr>
      <w:t>10</w:t>
    </w:r>
    <w:r>
      <w:fldChar w:fldCharType="end"/>
    </w:r>
    <w:r>
      <w:tab/>
      <w:t>© IFRS Foundation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D944" w14:textId="77777777" w:rsidR="0092324B" w:rsidRDefault="0092324B">
      <w:r>
        <w:separator/>
      </w:r>
    </w:p>
  </w:footnote>
  <w:footnote w:type="continuationSeparator" w:id="0">
    <w:p w14:paraId="1870AB2F" w14:textId="77777777" w:rsidR="0092324B" w:rsidRDefault="00923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94D" w14:textId="77777777" w:rsidR="00F5158D" w:rsidRDefault="00F5158D">
    <w:pPr>
      <w:pStyle w:val="Zaglavlj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69B63" w14:textId="77777777" w:rsidR="00F5158D" w:rsidRDefault="00B34096">
    <w:pPr>
      <w:pStyle w:val="Zaglavlje"/>
    </w:pP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4D628" w14:textId="77777777" w:rsidR="00F5158D" w:rsidRDefault="00F5158D">
    <w:pPr>
      <w:pStyle w:val="Zaglavlj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3E79" w14:textId="77777777" w:rsidR="00F5158D" w:rsidRDefault="00B34096">
    <w:pPr>
      <w:pStyle w:val="Zaglavlj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723B8" w14:textId="77777777" w:rsidR="00F5158D" w:rsidRDefault="00B34096">
    <w:pPr>
      <w:pStyle w:val="Zaglavlje"/>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DEE5" w14:textId="77777777" w:rsidR="00F5158D" w:rsidRDefault="00F5158D">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E770" w14:textId="77777777" w:rsidR="00F5158D" w:rsidRDefault="00B34096">
    <w:pPr>
      <w:pStyle w:val="Zaglavlje"/>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DBF7" w14:textId="77777777" w:rsidR="00F5158D" w:rsidRDefault="00F5158D">
    <w:pPr>
      <w:pStyle w:val="Zaglavlj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EA0F3" w14:textId="77777777" w:rsidR="00F5158D" w:rsidRDefault="00B34096">
    <w:pPr>
      <w:pStyle w:val="Zaglavlje"/>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E53A" w14:textId="77777777" w:rsidR="00F5158D" w:rsidRDefault="00F5158D">
    <w:pPr>
      <w:pStyle w:val="Zaglavlj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268EF" w14:textId="77777777" w:rsidR="00F5158D" w:rsidRDefault="00B34096">
    <w:pPr>
      <w:pStyle w:val="Zaglavlje"/>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121D" w14:textId="77777777" w:rsidR="00F5158D" w:rsidRDefault="00F5158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C63AB3"/>
    <w:multiLevelType w:val="multilevel"/>
    <w:tmpl w:val="34342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8D"/>
    <w:rsid w:val="000304B2"/>
    <w:rsid w:val="00031145"/>
    <w:rsid w:val="000325AE"/>
    <w:rsid w:val="000330CF"/>
    <w:rsid w:val="000570A4"/>
    <w:rsid w:val="0007797E"/>
    <w:rsid w:val="00082380"/>
    <w:rsid w:val="00084AED"/>
    <w:rsid w:val="000B7D4E"/>
    <w:rsid w:val="000E6251"/>
    <w:rsid w:val="000F2102"/>
    <w:rsid w:val="000F787A"/>
    <w:rsid w:val="00102846"/>
    <w:rsid w:val="00113862"/>
    <w:rsid w:val="002018AF"/>
    <w:rsid w:val="00222C36"/>
    <w:rsid w:val="00223559"/>
    <w:rsid w:val="002264C7"/>
    <w:rsid w:val="0024089E"/>
    <w:rsid w:val="00244F18"/>
    <w:rsid w:val="0026304C"/>
    <w:rsid w:val="00287FC0"/>
    <w:rsid w:val="002C39F4"/>
    <w:rsid w:val="002D246B"/>
    <w:rsid w:val="002E53D1"/>
    <w:rsid w:val="002F6065"/>
    <w:rsid w:val="003373AF"/>
    <w:rsid w:val="00387519"/>
    <w:rsid w:val="003B45FB"/>
    <w:rsid w:val="003B640C"/>
    <w:rsid w:val="003C12BF"/>
    <w:rsid w:val="003C6918"/>
    <w:rsid w:val="003D5A10"/>
    <w:rsid w:val="004154A1"/>
    <w:rsid w:val="004221C7"/>
    <w:rsid w:val="004307B1"/>
    <w:rsid w:val="00456A63"/>
    <w:rsid w:val="00457478"/>
    <w:rsid w:val="0046687F"/>
    <w:rsid w:val="00492110"/>
    <w:rsid w:val="004C4552"/>
    <w:rsid w:val="004D4775"/>
    <w:rsid w:val="004D5BB8"/>
    <w:rsid w:val="00504108"/>
    <w:rsid w:val="005154BA"/>
    <w:rsid w:val="00523194"/>
    <w:rsid w:val="00530EC7"/>
    <w:rsid w:val="005432C9"/>
    <w:rsid w:val="00555655"/>
    <w:rsid w:val="00571E22"/>
    <w:rsid w:val="005C3F42"/>
    <w:rsid w:val="005D6569"/>
    <w:rsid w:val="005E1AA8"/>
    <w:rsid w:val="006235A6"/>
    <w:rsid w:val="00626647"/>
    <w:rsid w:val="00626BC3"/>
    <w:rsid w:val="00644165"/>
    <w:rsid w:val="00652167"/>
    <w:rsid w:val="0066012E"/>
    <w:rsid w:val="00685D77"/>
    <w:rsid w:val="00735327"/>
    <w:rsid w:val="00737654"/>
    <w:rsid w:val="00741C40"/>
    <w:rsid w:val="00791253"/>
    <w:rsid w:val="007A2331"/>
    <w:rsid w:val="007D3980"/>
    <w:rsid w:val="007F3ABE"/>
    <w:rsid w:val="007F492D"/>
    <w:rsid w:val="00800808"/>
    <w:rsid w:val="00811BD9"/>
    <w:rsid w:val="00840D4B"/>
    <w:rsid w:val="00857906"/>
    <w:rsid w:val="00872438"/>
    <w:rsid w:val="008B78C3"/>
    <w:rsid w:val="008C20A2"/>
    <w:rsid w:val="008C2D57"/>
    <w:rsid w:val="00901493"/>
    <w:rsid w:val="0092324B"/>
    <w:rsid w:val="00930DFD"/>
    <w:rsid w:val="009511FE"/>
    <w:rsid w:val="00951765"/>
    <w:rsid w:val="0095491D"/>
    <w:rsid w:val="009C5CE4"/>
    <w:rsid w:val="00A25F70"/>
    <w:rsid w:val="00A33412"/>
    <w:rsid w:val="00A476FB"/>
    <w:rsid w:val="00A52F3C"/>
    <w:rsid w:val="00A5739F"/>
    <w:rsid w:val="00A83DA4"/>
    <w:rsid w:val="00A870D8"/>
    <w:rsid w:val="00A8796B"/>
    <w:rsid w:val="00A918E2"/>
    <w:rsid w:val="00A91B82"/>
    <w:rsid w:val="00AC3F48"/>
    <w:rsid w:val="00AE799A"/>
    <w:rsid w:val="00B34096"/>
    <w:rsid w:val="00B5363C"/>
    <w:rsid w:val="00B5397A"/>
    <w:rsid w:val="00B65B8A"/>
    <w:rsid w:val="00B70251"/>
    <w:rsid w:val="00C026B7"/>
    <w:rsid w:val="00C36005"/>
    <w:rsid w:val="00C93A36"/>
    <w:rsid w:val="00CB7054"/>
    <w:rsid w:val="00CC65DC"/>
    <w:rsid w:val="00CD041B"/>
    <w:rsid w:val="00CD478A"/>
    <w:rsid w:val="00CF6900"/>
    <w:rsid w:val="00D154CB"/>
    <w:rsid w:val="00D26F09"/>
    <w:rsid w:val="00D27655"/>
    <w:rsid w:val="00D54AF9"/>
    <w:rsid w:val="00DE698D"/>
    <w:rsid w:val="00E06B76"/>
    <w:rsid w:val="00E06CCE"/>
    <w:rsid w:val="00E3565A"/>
    <w:rsid w:val="00E62876"/>
    <w:rsid w:val="00E75D1C"/>
    <w:rsid w:val="00E86322"/>
    <w:rsid w:val="00E96D9D"/>
    <w:rsid w:val="00EA6DE9"/>
    <w:rsid w:val="00EB290C"/>
    <w:rsid w:val="00EE14E1"/>
    <w:rsid w:val="00EE468E"/>
    <w:rsid w:val="00F344CA"/>
    <w:rsid w:val="00F50624"/>
    <w:rsid w:val="00F5158D"/>
    <w:rsid w:val="00F61A67"/>
    <w:rsid w:val="00F70B6A"/>
    <w:rsid w:val="00F7759F"/>
    <w:rsid w:val="00F83B69"/>
    <w:rsid w:val="00FD3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484B"/>
  <w15:docId w15:val="{EEE5038E-1B3B-4867-B527-881D39F9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882"/>
    <w:pPr>
      <w:spacing w:after="0" w:line="240" w:lineRule="auto"/>
    </w:pPr>
    <w:rPr>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val="en-US"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val="en-US"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Normal"/>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Normal"/>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Normal"/>
    <w:pPr>
      <w:keepNext/>
      <w:keepLines/>
      <w:spacing w:before="300" w:after="200"/>
    </w:pPr>
    <w:rPr>
      <w:rFonts w:ascii="Arial" w:hAnsi="Arial" w:cs="Arial"/>
      <w:b/>
      <w:sz w:val="26"/>
      <w:szCs w:val="20"/>
      <w:lang w:val="en-US"/>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Normal"/>
    <w:pPr>
      <w:keepNext/>
      <w:keepLines/>
      <w:spacing w:before="300" w:after="200"/>
    </w:pPr>
    <w:rPr>
      <w:rFonts w:ascii="Arial" w:hAnsi="Arial" w:cs="Arial"/>
      <w:b/>
      <w:sz w:val="22"/>
      <w:szCs w:val="20"/>
      <w:lang w:val="en-US"/>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Normal"/>
    <w:pPr>
      <w:keepNext/>
      <w:keepLines/>
      <w:spacing w:before="300" w:after="200"/>
    </w:pPr>
    <w:rPr>
      <w:rFonts w:ascii="Arial" w:hAnsi="Arial" w:cs="Arial"/>
      <w:i/>
      <w:sz w:val="22"/>
      <w:szCs w:val="20"/>
      <w:lang w:val="en-US"/>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Normal"/>
    <w:rsid w:val="00E20281"/>
    <w:pPr>
      <w:keepNext/>
      <w:keepLines/>
      <w:spacing w:before="300" w:after="200"/>
    </w:pPr>
    <w:rPr>
      <w:rFonts w:ascii="Arial" w:hAnsi="Arial" w:cs="Arial"/>
      <w:b/>
      <w:sz w:val="19"/>
      <w:szCs w:val="20"/>
      <w:lang w:val="en-US"/>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val="en-US"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Normal"/>
    <w:pPr>
      <w:tabs>
        <w:tab w:val="right" w:pos="8647"/>
      </w:tabs>
      <w:spacing w:before="100" w:after="100"/>
    </w:pPr>
    <w:rPr>
      <w:rFonts w:ascii="Arial" w:hAnsi="Arial" w:cs="Arial"/>
      <w:b/>
      <w:caps/>
      <w:sz w:val="20"/>
      <w:szCs w:val="20"/>
      <w:lang w:val="en-US"/>
    </w:rPr>
  </w:style>
  <w:style w:type="paragraph" w:customStyle="1" w:styleId="IASBTOCPrimaryMixedCase">
    <w:name w:val="IASB TOC Primary Mixed Case"/>
    <w:basedOn w:val="Normal"/>
    <w:pPr>
      <w:tabs>
        <w:tab w:val="right" w:pos="8647"/>
      </w:tabs>
      <w:spacing w:before="100" w:after="100"/>
    </w:pPr>
    <w:rPr>
      <w:rFonts w:ascii="Arial" w:hAnsi="Arial" w:cs="Arial"/>
      <w:b/>
      <w:sz w:val="20"/>
      <w:szCs w:val="20"/>
      <w:lang w:val="en-US"/>
    </w:rPr>
  </w:style>
  <w:style w:type="paragraph" w:customStyle="1" w:styleId="IASBTOCPrimary">
    <w:name w:val="IASB TOC Primary"/>
    <w:basedOn w:val="Normal"/>
    <w:pPr>
      <w:tabs>
        <w:tab w:val="right" w:pos="8647"/>
      </w:tabs>
      <w:spacing w:before="100" w:after="100"/>
    </w:pPr>
    <w:rPr>
      <w:rFonts w:ascii="Arial" w:hAnsi="Arial" w:cs="Arial"/>
      <w:b/>
      <w:caps/>
      <w:sz w:val="18"/>
      <w:szCs w:val="20"/>
      <w:lang w:val="en-US"/>
    </w:rPr>
  </w:style>
  <w:style w:type="paragraph" w:customStyle="1" w:styleId="IASBTOCParagraph">
    <w:name w:val="IASB TOC Paragraph"/>
    <w:basedOn w:val="Normal"/>
    <w:pPr>
      <w:spacing w:before="30" w:after="30"/>
    </w:pPr>
    <w:rPr>
      <w:rFonts w:ascii="Arial" w:hAnsi="Arial" w:cs="Arial"/>
      <w:i/>
      <w:sz w:val="18"/>
      <w:szCs w:val="20"/>
      <w:lang w:val="en-US"/>
    </w:rPr>
  </w:style>
  <w:style w:type="paragraph" w:customStyle="1" w:styleId="IASBTOCSecondary">
    <w:name w:val="IASB TOC Secondary"/>
    <w:basedOn w:val="Normal"/>
    <w:pPr>
      <w:tabs>
        <w:tab w:val="right" w:pos="8647"/>
      </w:tabs>
      <w:spacing w:before="30" w:after="30"/>
    </w:pPr>
    <w:rPr>
      <w:rFonts w:ascii="Arial" w:hAnsi="Arial" w:cs="Arial"/>
      <w:b/>
      <w:sz w:val="18"/>
      <w:szCs w:val="20"/>
      <w:lang w:val="en-US"/>
    </w:rPr>
  </w:style>
  <w:style w:type="paragraph" w:customStyle="1" w:styleId="IASBTOCTertiary">
    <w:name w:val="IASB TOC Tertiary"/>
    <w:basedOn w:val="Normal"/>
    <w:pPr>
      <w:tabs>
        <w:tab w:val="right" w:pos="8647"/>
      </w:tabs>
      <w:spacing w:before="30" w:after="30"/>
      <w:ind w:left="390"/>
    </w:pPr>
    <w:rPr>
      <w:rFonts w:ascii="Arial" w:hAnsi="Arial" w:cs="Arial"/>
      <w:sz w:val="18"/>
      <w:szCs w:val="20"/>
      <w:lang w:val="en-US"/>
    </w:rPr>
  </w:style>
  <w:style w:type="paragraph" w:customStyle="1" w:styleId="IASBTOCExternal">
    <w:name w:val="IASB TOC External"/>
    <w:basedOn w:val="Normal"/>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lang w:val="en-US"/>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Referencafusnote">
    <w:name w:val="footnote reference"/>
    <w:basedOn w:val="Zadanifontodlomka"/>
    <w:uiPriority w:val="99"/>
    <w:semiHidden/>
    <w:unhideWhenUsed/>
    <w:rPr>
      <w:rFonts w:cs="Times New Roman"/>
      <w:vertAlign w:val="superscript"/>
    </w:rPr>
  </w:style>
  <w:style w:type="paragraph" w:styleId="Tekstfusnote">
    <w:name w:val="footnote text"/>
    <w:basedOn w:val="IASBSectionTitle2Ind"/>
    <w:next w:val="IASBBlockquote"/>
    <w:uiPriority w:val="99"/>
    <w:semiHidden/>
    <w:rsid w:val="00B35882"/>
    <w:pPr>
      <w:keepNext w:val="0"/>
      <w:spacing w:before="0" w:after="0"/>
      <w:ind w:hanging="782"/>
    </w:pPr>
    <w:rPr>
      <w:rFonts w:ascii="Times New Roman" w:hAnsi="Times New Roman" w:cs="Times New Roman"/>
      <w:b w:val="0"/>
      <w:sz w:val="16"/>
    </w:rPr>
  </w:style>
  <w:style w:type="paragraph" w:customStyle="1" w:styleId="edufootnotetext">
    <w:name w:val="edu footnote text"/>
    <w:basedOn w:val="IASBSectionTitle2Ind"/>
    <w:next w:val="IASBBlockquote"/>
    <w:link w:val="FootnoteTextChar"/>
    <w:uiPriority w:val="99"/>
    <w:semiHidden/>
    <w:rsid w:val="00713675"/>
    <w:pPr>
      <w:keepNext w:val="0"/>
      <w:keepLines w:val="0"/>
      <w:spacing w:before="0" w:after="0"/>
      <w:ind w:hanging="782"/>
    </w:pPr>
    <w:rPr>
      <w:sz w:val="16"/>
    </w:rPr>
  </w:style>
  <w:style w:type="character" w:customStyle="1" w:styleId="FootnoteTextChar">
    <w:name w:val="Footnote Text Char"/>
    <w:basedOn w:val="Zadanifontodlomka"/>
    <w:link w:val="edufootnotetext"/>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Zaglavlje">
    <w:name w:val="header"/>
    <w:basedOn w:val="Normal"/>
    <w:link w:val="ZaglavljeChar"/>
    <w:uiPriority w:val="99"/>
    <w:pPr>
      <w:tabs>
        <w:tab w:val="center" w:pos="4320"/>
        <w:tab w:val="right" w:pos="8640"/>
      </w:tabs>
    </w:pPr>
  </w:style>
  <w:style w:type="character" w:customStyle="1" w:styleId="ZaglavljeChar">
    <w:name w:val="Zaglavlje Char"/>
    <w:basedOn w:val="Zadanifontodlomka"/>
    <w:link w:val="Zaglavlje"/>
    <w:uiPriority w:val="99"/>
    <w:semiHidden/>
    <w:rPr>
      <w:sz w:val="24"/>
      <w:szCs w:val="24"/>
      <w:lang w:eastAsia="en-US"/>
    </w:rPr>
  </w:style>
  <w:style w:type="paragraph" w:styleId="Podnoje">
    <w:name w:val="footer"/>
    <w:basedOn w:val="Normal"/>
    <w:link w:val="PodnojeChar"/>
    <w:uiPriority w:val="99"/>
    <w:pPr>
      <w:tabs>
        <w:tab w:val="center" w:pos="4320"/>
        <w:tab w:val="right" w:pos="8640"/>
      </w:tabs>
    </w:pPr>
  </w:style>
  <w:style w:type="character" w:customStyle="1" w:styleId="PodnojeChar">
    <w:name w:val="Podnožje Char"/>
    <w:basedOn w:val="Zadanifontodlomka"/>
    <w:link w:val="Podnoje"/>
    <w:uiPriority w:val="99"/>
    <w:semiHidden/>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Normal"/>
    <w:qFormat/>
    <w:pPr>
      <w:spacing w:before="120"/>
    </w:pPr>
    <w:rPr>
      <w:b/>
      <w:sz w:val="19"/>
      <w:szCs w:val="20"/>
      <w:lang w:eastAsia="en-GB"/>
    </w:rPr>
  </w:style>
  <w:style w:type="paragraph" w:customStyle="1" w:styleId="IASBTableHeaderTNR">
    <w:name w:val="IASB Table Header TNR"/>
    <w:basedOn w:val="Normal"/>
    <w:qFormat/>
    <w:pPr>
      <w:keepNext/>
      <w:spacing w:before="120" w:after="200" w:line="276" w:lineRule="auto"/>
    </w:pPr>
    <w:rPr>
      <w:sz w:val="19"/>
      <w:szCs w:val="20"/>
      <w:lang w:eastAsia="en-GB"/>
    </w:rPr>
  </w:style>
  <w:style w:type="paragraph" w:customStyle="1" w:styleId="IASBTableTNR">
    <w:name w:val="IASB Table TNR"/>
    <w:basedOn w:val="Normal"/>
    <w:qFormat/>
    <w:pPr>
      <w:spacing w:before="120"/>
    </w:pPr>
    <w:rPr>
      <w:sz w:val="19"/>
      <w:szCs w:val="20"/>
      <w:lang w:eastAsia="en-GB"/>
    </w:rPr>
  </w:style>
  <w:style w:type="paragraph" w:customStyle="1" w:styleId="IASBTableNormal">
    <w:name w:val="IASB Table Normal"/>
    <w:basedOn w:val="Normal"/>
    <w:pPr>
      <w:spacing w:before="80" w:after="60"/>
    </w:pPr>
    <w:rPr>
      <w:sz w:val="19"/>
      <w:szCs w:val="20"/>
      <w:lang w:eastAsia="en-GB"/>
    </w:rPr>
  </w:style>
  <w:style w:type="paragraph" w:customStyle="1" w:styleId="IASBTableArial">
    <w:name w:val="IASB Table Arial"/>
    <w:basedOn w:val="Normal"/>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Referencakrajnjebiljeke">
    <w:name w:val="endnote reference"/>
    <w:basedOn w:val="Zadanifontodlomka"/>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 w:type="paragraph" w:styleId="Revizija">
    <w:name w:val="Revision"/>
    <w:hidden/>
    <w:uiPriority w:val="99"/>
    <w:semiHidden/>
    <w:rsid w:val="005C3F42"/>
    <w:pPr>
      <w:spacing w:after="0" w:line="240" w:lineRule="auto"/>
    </w:pPr>
    <w:rPr>
      <w:sz w:val="24"/>
      <w:szCs w:val="24"/>
      <w:lang w:eastAsia="en-US"/>
    </w:rPr>
  </w:style>
  <w:style w:type="character" w:styleId="Referencakomentara">
    <w:name w:val="annotation reference"/>
    <w:basedOn w:val="Zadanifontodlomka"/>
    <w:uiPriority w:val="99"/>
    <w:semiHidden/>
    <w:unhideWhenUsed/>
    <w:rsid w:val="00872438"/>
    <w:rPr>
      <w:sz w:val="16"/>
      <w:szCs w:val="16"/>
    </w:rPr>
  </w:style>
  <w:style w:type="paragraph" w:styleId="Tekstkomentara">
    <w:name w:val="annotation text"/>
    <w:basedOn w:val="Normal"/>
    <w:link w:val="TekstkomentaraChar"/>
    <w:uiPriority w:val="99"/>
    <w:semiHidden/>
    <w:unhideWhenUsed/>
    <w:rsid w:val="00872438"/>
    <w:rPr>
      <w:sz w:val="20"/>
      <w:szCs w:val="20"/>
    </w:rPr>
  </w:style>
  <w:style w:type="character" w:customStyle="1" w:styleId="TekstkomentaraChar">
    <w:name w:val="Tekst komentara Char"/>
    <w:basedOn w:val="Zadanifontodlomka"/>
    <w:link w:val="Tekstkomentara"/>
    <w:uiPriority w:val="99"/>
    <w:semiHidden/>
    <w:rsid w:val="00872438"/>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872438"/>
    <w:rPr>
      <w:b/>
      <w:bCs/>
    </w:rPr>
  </w:style>
  <w:style w:type="character" w:customStyle="1" w:styleId="PredmetkomentaraChar">
    <w:name w:val="Predmet komentara Char"/>
    <w:basedOn w:val="TekstkomentaraChar"/>
    <w:link w:val="Predmetkomentara"/>
    <w:uiPriority w:val="99"/>
    <w:semiHidden/>
    <w:rsid w:val="00872438"/>
    <w:rPr>
      <w:b/>
      <w:bCs/>
      <w:sz w:val="20"/>
      <w:szCs w:val="20"/>
      <w:lang w:eastAsia="en-US"/>
    </w:rPr>
  </w:style>
  <w:style w:type="paragraph" w:styleId="Tekstbalonia">
    <w:name w:val="Balloon Text"/>
    <w:basedOn w:val="Normal"/>
    <w:link w:val="TekstbaloniaChar"/>
    <w:uiPriority w:val="99"/>
    <w:semiHidden/>
    <w:unhideWhenUsed/>
    <w:rsid w:val="00930D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0DF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microsoft.com/office/2016/09/relationships/commentsIds" Target="commentsIds.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E284443D39C047BFB7B26CC769F073" ma:contentTypeVersion="19" ma:contentTypeDescription="Create a new document." ma:contentTypeScope="" ma:versionID="c67f1cd603e6bb5ff3c0d425deee8fbb">
  <xsd:schema xmlns:xsd="http://www.w3.org/2001/XMLSchema" xmlns:xs="http://www.w3.org/2001/XMLSchema" xmlns:p="http://schemas.microsoft.com/office/2006/metadata/properties" xmlns:ns2="ec49eb38-6cb5-483f-a298-4a90bdd00051" xmlns:ns3="dd1af2b0-f65d-434c-8a17-aadcdb553b78" targetNamespace="http://schemas.microsoft.com/office/2006/metadata/properties" ma:root="true" ma:fieldsID="45550e609c45576cf7171bf1fbe77a05" ns2:_="" ns3:_="">
    <xsd:import namespace="ec49eb38-6cb5-483f-a298-4a90bdd00051"/>
    <xsd:import namespace="dd1af2b0-f65d-434c-8a17-aadcdb553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eb38-6cb5-483f-a298-4a90bdd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2f0513-a2ef-49c9-8f64-129a7e7844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af2b0-f65d-434c-8a17-aadcdb553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6988c-21c8-4111-8ccb-b7eec4617890}" ma:internalName="TaxCatchAll" ma:showField="CatchAllData" ma:web="dd1af2b0-f65d-434c-8a17-aadcdb553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af2b0-f65d-434c-8a17-aadcdb553b78" xsi:nil="true"/>
    <lcf76f155ced4ddcb4097134ff3c332f xmlns="ec49eb38-6cb5-483f-a298-4a90bdd000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262DF4-3689-434B-8D8A-BB07C2E3D595}">
  <ds:schemaRefs>
    <ds:schemaRef ds:uri="http://schemas.microsoft.com/sharepoint/v3/contenttype/forms"/>
  </ds:schemaRefs>
</ds:datastoreItem>
</file>

<file path=customXml/itemProps2.xml><?xml version="1.0" encoding="utf-8"?>
<ds:datastoreItem xmlns:ds="http://schemas.openxmlformats.org/officeDocument/2006/customXml" ds:itemID="{FFDFFEE7-7CA6-4555-A2E7-670234180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eb38-6cb5-483f-a298-4a90bdd00051"/>
    <ds:schemaRef ds:uri="dd1af2b0-f65d-434c-8a17-aadcdb55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592AB-A71E-4592-B6B2-3C430699ABD3}">
  <ds:schemaRefs>
    <ds:schemaRef ds:uri="http://schemas.microsoft.com/office/2006/metadata/properties"/>
    <ds:schemaRef ds:uri="http://schemas.microsoft.com/office/infopath/2007/PartnerControls"/>
    <ds:schemaRef ds:uri="dd1af2b0-f65d-434c-8a17-aadcdb553b78"/>
    <ds:schemaRef ds:uri="ec49eb38-6cb5-483f-a298-4a90bdd000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3947</Words>
  <Characters>22501</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Korisnik</cp:lastModifiedBy>
  <cp:revision>2</cp:revision>
  <dcterms:created xsi:type="dcterms:W3CDTF">2026-01-30T13:40:00Z</dcterms:created>
  <dcterms:modified xsi:type="dcterms:W3CDTF">2026-01-30T13:40:00Z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0x0101004559C9985957DC46A05537B0C86F490E</vt:lpwstr>
  </property>
  <property fmtid="{D5CDD505-2E9C-101B-9397-08002B2CF9AE}" pid="3" name="MediaServiceImageTags">
    <vt:lpwstr/>
  </property>
</Properties>
</file>