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E6" w:rsidRPr="00D66CE6" w:rsidRDefault="00D66CE6" w:rsidP="00D66CE6">
      <w:pPr>
        <w:jc w:val="center"/>
        <w:rPr>
          <w:rFonts w:cs="Tahoma"/>
          <w:color w:val="000000"/>
          <w:sz w:val="28"/>
          <w:szCs w:val="28"/>
          <w:lang w:val="bs-Latn-BA" w:eastAsia="en-US"/>
        </w:rPr>
      </w:pPr>
      <w:r>
        <w:rPr>
          <w:rFonts w:cs="Tahoma"/>
          <w:color w:val="000000"/>
          <w:sz w:val="28"/>
          <w:szCs w:val="28"/>
          <w:lang w:val="bs-Latn-BA" w:eastAsia="en-US"/>
        </w:rPr>
        <w:t>KOMISIJ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8"/>
          <w:lang w:val="bs-Latn-BA" w:eastAsia="en-US"/>
        </w:rPr>
        <w:t>Z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 xml:space="preserve">А </w:t>
      </w:r>
      <w:r>
        <w:rPr>
          <w:rFonts w:cs="Tahoma"/>
          <w:color w:val="000000"/>
          <w:sz w:val="28"/>
          <w:szCs w:val="28"/>
          <w:lang w:val="bs-Latn-BA" w:eastAsia="en-US"/>
        </w:rPr>
        <w:t>R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>А</w:t>
      </w:r>
      <w:r>
        <w:rPr>
          <w:rFonts w:cs="Tahoma"/>
          <w:color w:val="000000"/>
          <w:sz w:val="28"/>
          <w:szCs w:val="28"/>
          <w:lang w:val="bs-Latn-BA" w:eastAsia="en-US"/>
        </w:rPr>
        <w:t>ČUNOVODSTVO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I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REVIZIJU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</w:p>
    <w:p w:rsidR="00D66CE6" w:rsidRPr="00D66CE6" w:rsidRDefault="00D66CE6" w:rsidP="00D66CE6">
      <w:pPr>
        <w:jc w:val="center"/>
        <w:rPr>
          <w:rFonts w:cs="Tahoma"/>
          <w:color w:val="000000"/>
          <w:sz w:val="28"/>
          <w:szCs w:val="28"/>
          <w:lang w:val="bs-Latn-BA" w:eastAsia="en-US"/>
        </w:rPr>
      </w:pPr>
      <w:r>
        <w:rPr>
          <w:rFonts w:cs="Tahoma"/>
          <w:color w:val="000000"/>
          <w:sz w:val="28"/>
          <w:szCs w:val="28"/>
          <w:lang w:val="bs-Latn-BA" w:eastAsia="en-US"/>
        </w:rPr>
        <w:t>BOSNE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I</w:t>
      </w:r>
      <w:r w:rsidRPr="00D66CE6">
        <w:rPr>
          <w:rFonts w:cs="Tahoma"/>
          <w:color w:val="000000"/>
          <w:sz w:val="28"/>
          <w:szCs w:val="28"/>
          <w:lang w:val="bs-Latn-BA" w:eastAsia="en-US"/>
        </w:rPr>
        <w:t xml:space="preserve"> </w:t>
      </w:r>
      <w:r>
        <w:rPr>
          <w:rFonts w:cs="Tahoma"/>
          <w:color w:val="000000"/>
          <w:sz w:val="28"/>
          <w:szCs w:val="28"/>
          <w:lang w:val="bs-Latn-BA" w:eastAsia="en-US"/>
        </w:rPr>
        <w:t>HERCEGOVINE</w:t>
      </w:r>
    </w:p>
    <w:p w:rsidR="00D66CE6" w:rsidRPr="00D66CE6" w:rsidRDefault="00D66CE6" w:rsidP="00D66CE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D66CE6" w:rsidRPr="00D66CE6" w:rsidRDefault="00D66CE6" w:rsidP="00D66CE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88753A">
        <w:rPr>
          <w:rFonts w:cs="Tahoma"/>
          <w:color w:val="000000"/>
          <w:sz w:val="24"/>
          <w:szCs w:val="24"/>
          <w:lang w:val="bs-Latn-BA" w:eastAsia="en-US"/>
        </w:rPr>
        <w:t>STJE</w:t>
      </w:r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NjE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D66CE6" w:rsidRPr="00D66CE6" w:rsidRDefault="004D4F1A" w:rsidP="00D66CE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color w:val="000000"/>
          <w:sz w:val="24"/>
          <w:szCs w:val="24"/>
          <w:lang w:eastAsia="en-US"/>
        </w:rPr>
        <w:t xml:space="preserve">CERTIFICIRANI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R</w:t>
      </w:r>
      <w:r w:rsidRPr="00D66CE6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ČUNOVOĐ</w:t>
      </w:r>
      <w:r w:rsidRPr="00D66CE6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</w:p>
    <w:p w:rsidR="00D66CE6" w:rsidRPr="00D66CE6" w:rsidRDefault="00D66CE6" w:rsidP="00D66CE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 w:rsidRPr="00D66CE6">
        <w:rPr>
          <w:rFonts w:cs="Tahoma"/>
          <w:color w:val="000000"/>
          <w:sz w:val="24"/>
          <w:szCs w:val="24"/>
          <w:lang w:val="bs-Latn-BA" w:eastAsia="en-US"/>
        </w:rPr>
        <w:t>(</w:t>
      </w:r>
      <w:r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: </w:t>
      </w:r>
      <w:r w:rsidR="0088753A">
        <w:rPr>
          <w:rFonts w:cs="Tahoma"/>
          <w:color w:val="000000"/>
          <w:sz w:val="24"/>
          <w:szCs w:val="24"/>
          <w:lang w:val="bs-Latn-BA" w:eastAsia="en-US"/>
        </w:rPr>
        <w:t>SVIBANJ/</w:t>
      </w:r>
      <w:r>
        <w:rPr>
          <w:rFonts w:cs="Tahoma"/>
          <w:color w:val="000000"/>
          <w:sz w:val="24"/>
          <w:szCs w:val="24"/>
          <w:lang w:val="en-US" w:eastAsia="en-US"/>
        </w:rPr>
        <w:t>M</w:t>
      </w:r>
      <w:r w:rsidRPr="00D66CE6">
        <w:rPr>
          <w:rFonts w:cs="Tahoma"/>
          <w:color w:val="000000"/>
          <w:sz w:val="24"/>
          <w:szCs w:val="24"/>
          <w:lang w:val="en-US" w:eastAsia="en-US"/>
        </w:rPr>
        <w:t>А</w:t>
      </w:r>
      <w:r>
        <w:rPr>
          <w:rFonts w:cs="Tahoma"/>
          <w:color w:val="000000"/>
          <w:sz w:val="24"/>
          <w:szCs w:val="24"/>
          <w:lang w:val="en-US" w:eastAsia="en-US"/>
        </w:rPr>
        <w:t>J</w:t>
      </w:r>
      <w:r w:rsidRPr="00D66CE6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>201</w:t>
      </w:r>
      <w:r w:rsidRPr="00D66CE6">
        <w:rPr>
          <w:rFonts w:cs="Tahoma"/>
          <w:color w:val="000000"/>
          <w:sz w:val="24"/>
          <w:szCs w:val="24"/>
          <w:lang w:val="en-US" w:eastAsia="en-US"/>
        </w:rPr>
        <w:t>7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. </w:t>
      </w:r>
      <w:r>
        <w:rPr>
          <w:rFonts w:cs="Tahoma"/>
          <w:color w:val="000000"/>
          <w:sz w:val="24"/>
          <w:szCs w:val="24"/>
          <w:lang w:val="bs-Latn-BA" w:eastAsia="en-US"/>
        </w:rPr>
        <w:t>GODINE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D66CE6" w:rsidRPr="00D66CE6" w:rsidRDefault="00D66CE6" w:rsidP="00D66CE6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D66CE6" w:rsidRPr="00D66CE6" w:rsidRDefault="00D66CE6" w:rsidP="00D66CE6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PREDMET</w:t>
      </w:r>
      <w:r w:rsidRPr="00D66CE6">
        <w:rPr>
          <w:rFonts w:cs="Tahoma"/>
          <w:color w:val="000000"/>
          <w:sz w:val="24"/>
          <w:szCs w:val="24"/>
          <w:lang w:val="bs-Latn-BA" w:eastAsia="en-US"/>
        </w:rPr>
        <w:t xml:space="preserve"> 7: </w:t>
      </w:r>
    </w:p>
    <w:p w:rsidR="00D66CE6" w:rsidRPr="00D66CE6" w:rsidRDefault="00D66CE6" w:rsidP="00D66CE6">
      <w:pPr>
        <w:jc w:val="center"/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</w:pPr>
      <w:r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FIN</w:t>
      </w:r>
      <w:r w:rsidRPr="00D66CE6"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N</w:t>
      </w:r>
      <w:r w:rsidR="0088753A"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C</w:t>
      </w:r>
      <w:bookmarkStart w:id="0" w:name="_GoBack"/>
      <w:bookmarkEnd w:id="0"/>
      <w:r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IJSKO</w:t>
      </w:r>
      <w:r w:rsidRPr="00D66CE6"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IZVJEŠT</w:t>
      </w:r>
      <w:r w:rsidRPr="00D66CE6"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V</w:t>
      </w:r>
      <w:r w:rsidRPr="00D66CE6"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>NjE</w:t>
      </w:r>
      <w:r w:rsidRPr="00D66CE6">
        <w:rPr>
          <w:rFonts w:cs="Tahoma"/>
          <w:b/>
          <w:color w:val="000000"/>
          <w:sz w:val="24"/>
          <w:szCs w:val="24"/>
          <w:u w:val="single"/>
          <w:lang w:val="bs-Latn-BA" w:eastAsia="en-US"/>
        </w:rPr>
        <w:t xml:space="preserve"> 2</w:t>
      </w:r>
    </w:p>
    <w:p w:rsidR="00D66CE6" w:rsidRPr="00D66CE6" w:rsidRDefault="00D66CE6" w:rsidP="00D66CE6">
      <w:pPr>
        <w:jc w:val="both"/>
        <w:rPr>
          <w:rFonts w:cs="Tahoma"/>
          <w:b/>
          <w:sz w:val="24"/>
          <w:szCs w:val="24"/>
          <w:lang w:val="en-US" w:eastAsia="en-US"/>
        </w:rPr>
      </w:pPr>
    </w:p>
    <w:p w:rsidR="00D66CE6" w:rsidRPr="00D66CE6" w:rsidRDefault="00D66CE6" w:rsidP="00D66CE6">
      <w:pPr>
        <w:jc w:val="both"/>
        <w:rPr>
          <w:rFonts w:cs="Tahoma"/>
          <w:b/>
          <w:sz w:val="24"/>
          <w:szCs w:val="24"/>
          <w:lang w:val="en-US" w:eastAsia="en-US"/>
        </w:rPr>
      </w:pPr>
    </w:p>
    <w:p w:rsidR="00D66CE6" w:rsidRPr="00D66CE6" w:rsidRDefault="00D66CE6" w:rsidP="00D66CE6">
      <w:pPr>
        <w:jc w:val="both"/>
        <w:rPr>
          <w:rFonts w:cs="Tahoma"/>
          <w:b/>
          <w:sz w:val="24"/>
          <w:szCs w:val="24"/>
          <w:lang w:val="en-US" w:eastAsia="en-US"/>
        </w:rPr>
      </w:pPr>
      <w:r w:rsidRPr="00D66CE6">
        <w:rPr>
          <w:rFonts w:cs="Tahoma"/>
          <w:b/>
          <w:sz w:val="24"/>
          <w:szCs w:val="24"/>
          <w:lang w:val="en-US" w:eastAsia="en-US"/>
        </w:rPr>
        <w:t>I</w:t>
      </w:r>
      <w:r w:rsidRPr="00D66CE6">
        <w:rPr>
          <w:rFonts w:cs="Tahoma"/>
          <w:b/>
          <w:sz w:val="24"/>
          <w:szCs w:val="24"/>
          <w:lang w:val="bs-Latn-BA" w:eastAsia="en-US"/>
        </w:rPr>
        <w:t xml:space="preserve"> - </w:t>
      </w:r>
      <w:r>
        <w:rPr>
          <w:rFonts w:cs="Tahoma"/>
          <w:b/>
          <w:sz w:val="24"/>
          <w:szCs w:val="24"/>
          <w:lang w:val="bs-Latn-BA" w:eastAsia="en-US"/>
        </w:rPr>
        <w:t>TEST</w:t>
      </w:r>
      <w:r w:rsidRPr="00D66CE6">
        <w:rPr>
          <w:rFonts w:cs="Tahoma"/>
          <w:b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sz w:val="24"/>
          <w:szCs w:val="24"/>
          <w:lang w:val="bs-Latn-BA" w:eastAsia="en-US"/>
        </w:rPr>
        <w:t>P</w:t>
      </w:r>
      <w:r>
        <w:rPr>
          <w:rFonts w:cs="Tahoma"/>
          <w:b/>
          <w:sz w:val="24"/>
          <w:szCs w:val="24"/>
          <w:lang w:val="bs-Cyrl-BA" w:eastAsia="en-US"/>
        </w:rPr>
        <w:t>I</w:t>
      </w:r>
      <w:r>
        <w:rPr>
          <w:rFonts w:cs="Tahoma"/>
          <w:b/>
          <w:sz w:val="24"/>
          <w:szCs w:val="24"/>
          <w:lang w:val="bs-Latn-BA" w:eastAsia="en-US"/>
        </w:rPr>
        <w:t>T</w:t>
      </w:r>
      <w:r w:rsidRPr="00D66CE6">
        <w:rPr>
          <w:rFonts w:cs="Tahoma"/>
          <w:b/>
          <w:sz w:val="24"/>
          <w:szCs w:val="24"/>
          <w:lang w:val="bs-Latn-BA" w:eastAsia="en-US"/>
        </w:rPr>
        <w:t>А</w:t>
      </w:r>
      <w:r>
        <w:rPr>
          <w:rFonts w:cs="Tahoma"/>
          <w:b/>
          <w:sz w:val="24"/>
          <w:szCs w:val="24"/>
          <w:lang w:val="bs-Latn-BA" w:eastAsia="en-US"/>
        </w:rPr>
        <w:t>Nj</w:t>
      </w:r>
      <w:r w:rsidRPr="00D66CE6">
        <w:rPr>
          <w:rFonts w:cs="Tahoma"/>
          <w:b/>
          <w:sz w:val="24"/>
          <w:szCs w:val="24"/>
          <w:lang w:val="en-US" w:eastAsia="en-US"/>
        </w:rPr>
        <w:t>А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Koje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tvrdnje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tačne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2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odlivi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iz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poslovnih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aktivnosti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mogu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biti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vezi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ostalim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rashodima</w:t>
      </w:r>
    </w:p>
    <w:p w:rsidR="00D66CE6" w:rsidRPr="00D66CE6" w:rsidRDefault="00D66CE6" w:rsidP="00D66CE6">
      <w:pPr>
        <w:numPr>
          <w:ilvl w:val="0"/>
          <w:numId w:val="2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prilivi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iz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finansijskih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aktivnosti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mogu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biti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vezi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poslovnim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prihodima</w:t>
      </w:r>
    </w:p>
    <w:p w:rsidR="00D66CE6" w:rsidRPr="00D66CE6" w:rsidRDefault="00D66CE6" w:rsidP="00D66CE6">
      <w:pPr>
        <w:numPr>
          <w:ilvl w:val="0"/>
          <w:numId w:val="2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prilivi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iz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investicionih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aktivnosti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mogu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biti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vezi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ostalim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rashodima</w:t>
      </w:r>
    </w:p>
    <w:p w:rsidR="00D66CE6" w:rsidRPr="00D66CE6" w:rsidRDefault="00D66CE6" w:rsidP="00D66CE6">
      <w:pPr>
        <w:numPr>
          <w:ilvl w:val="0"/>
          <w:numId w:val="2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odlivi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iz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finansijskih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aktivnosti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moraju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biti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vezi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finansijskim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rashodima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Privremena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razlika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može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nastati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poslijedica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4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djelimičnog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priznavanja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rashoda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poreske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svrhe</w:t>
      </w:r>
    </w:p>
    <w:p w:rsidR="00D66CE6" w:rsidRPr="00D66CE6" w:rsidRDefault="00D66CE6" w:rsidP="00D66CE6">
      <w:pPr>
        <w:numPr>
          <w:ilvl w:val="0"/>
          <w:numId w:val="4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primjenom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različitih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stopa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amortizacije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opreme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poreske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svrhe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potrebe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finansijskog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računovodstva</w:t>
      </w:r>
    </w:p>
    <w:p w:rsidR="00D66CE6" w:rsidRPr="00D66CE6" w:rsidRDefault="00D66CE6" w:rsidP="00D66CE6">
      <w:pPr>
        <w:numPr>
          <w:ilvl w:val="0"/>
          <w:numId w:val="4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amortizacije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zemljišta</w:t>
      </w:r>
    </w:p>
    <w:p w:rsidR="00D66CE6" w:rsidRPr="00D66CE6" w:rsidRDefault="00D66CE6" w:rsidP="00D66CE6">
      <w:pPr>
        <w:numPr>
          <w:ilvl w:val="0"/>
          <w:numId w:val="4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konverzije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novčanih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sredstava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Odložena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poreska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sredstava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priznaju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stalna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ili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tekuća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ako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5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nastala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osnovu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različitih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stopa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amortizacije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opreme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ili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otpisa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potraživanja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od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kupaca</w:t>
      </w:r>
    </w:p>
    <w:p w:rsidR="00D66CE6" w:rsidRPr="00D66CE6" w:rsidRDefault="00D66CE6" w:rsidP="00D66CE6">
      <w:pPr>
        <w:numPr>
          <w:ilvl w:val="0"/>
          <w:numId w:val="5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primjenjuje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MSFI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MSE</w:t>
      </w:r>
    </w:p>
    <w:p w:rsidR="00D66CE6" w:rsidRPr="00D66CE6" w:rsidRDefault="00D66CE6" w:rsidP="00D66CE6">
      <w:pPr>
        <w:numPr>
          <w:ilvl w:val="0"/>
          <w:numId w:val="5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primjenjuje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puni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set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MSFI</w:t>
      </w:r>
    </w:p>
    <w:p w:rsidR="00D66CE6" w:rsidRPr="00D66CE6" w:rsidRDefault="00D66CE6" w:rsidP="00D66CE6">
      <w:pPr>
        <w:numPr>
          <w:ilvl w:val="0"/>
          <w:numId w:val="5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nastala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osnovu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dugoročnih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ili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kratkoročnih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kredita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stranoj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valuti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Storniranje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BA" w:eastAsia="ja-JP"/>
        </w:rPr>
        <w:t>imparitetnih</w:t>
      </w:r>
      <w:proofErr w:type="spellEnd"/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gubitaka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osnovu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revalorizacije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BA" w:eastAsia="ja-JP"/>
        </w:rPr>
        <w:t>nekrentina</w:t>
      </w:r>
      <w:proofErr w:type="spellEnd"/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BA" w:eastAsia="ja-JP"/>
        </w:rPr>
        <w:t>postrojenja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opreme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znači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6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smanjenje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rashod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osnovu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BA" w:eastAsia="ja-JP"/>
        </w:rPr>
        <w:t>obezvrjeđenja</w:t>
      </w:r>
      <w:proofErr w:type="spellEnd"/>
    </w:p>
    <w:p w:rsidR="00D66CE6" w:rsidRPr="00D66CE6" w:rsidRDefault="00D66CE6" w:rsidP="00D66CE6">
      <w:pPr>
        <w:numPr>
          <w:ilvl w:val="0"/>
          <w:numId w:val="6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priznavanje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prihoda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osnovu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BA" w:eastAsia="ja-JP"/>
        </w:rPr>
        <w:t>obezvrjeđenja</w:t>
      </w:r>
      <w:proofErr w:type="spellEnd"/>
    </w:p>
    <w:p w:rsidR="00D66CE6" w:rsidRPr="00D66CE6" w:rsidRDefault="00D66CE6" w:rsidP="00D66CE6">
      <w:pPr>
        <w:numPr>
          <w:ilvl w:val="0"/>
          <w:numId w:val="6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proofErr w:type="spellStart"/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priznavaanje</w:t>
      </w:r>
      <w:proofErr w:type="spellEnd"/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prihoda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do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visine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priznatih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gubitaka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osnovu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obezvrjeđenja</w:t>
      </w:r>
      <w:proofErr w:type="spellEnd"/>
    </w:p>
    <w:p w:rsidR="00D66CE6" w:rsidRPr="00D66CE6" w:rsidRDefault="00D66CE6" w:rsidP="00D66CE6">
      <w:pPr>
        <w:numPr>
          <w:ilvl w:val="0"/>
          <w:numId w:val="6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smanjenje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revalorizacionih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rezervi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Šta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navedenog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priznaje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dugoročno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rezervisanje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23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pozitivna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razlika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između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dobitka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bilansu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uspjeha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poreske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osnovice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iskazane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poreskoj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prijavi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porez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dobit</w:t>
      </w:r>
    </w:p>
    <w:p w:rsidR="00D66CE6" w:rsidRPr="00D66CE6" w:rsidRDefault="00D66CE6" w:rsidP="00D66CE6">
      <w:pPr>
        <w:numPr>
          <w:ilvl w:val="0"/>
          <w:numId w:val="23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negativna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razlika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između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dobitka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bilansu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uspjeha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poreske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osnovice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iskazane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poreskoj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prijavi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porez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dobit</w:t>
      </w:r>
    </w:p>
    <w:p w:rsidR="00D66CE6" w:rsidRPr="00D66CE6" w:rsidRDefault="00D66CE6" w:rsidP="00D66CE6">
      <w:pPr>
        <w:numPr>
          <w:ilvl w:val="0"/>
          <w:numId w:val="23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obaveza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uređenja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eksploatisanog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zemljišta</w:t>
      </w:r>
    </w:p>
    <w:p w:rsidR="00D66CE6" w:rsidRPr="00D66CE6" w:rsidRDefault="00D66CE6" w:rsidP="00D66CE6">
      <w:pPr>
        <w:numPr>
          <w:ilvl w:val="0"/>
          <w:numId w:val="23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proofErr w:type="spellStart"/>
      <w:r>
        <w:rPr>
          <w:rFonts w:eastAsia="MS Mincho" w:cs="Tahoma"/>
          <w:sz w:val="24"/>
          <w:szCs w:val="24"/>
          <w:lang w:val="sr-Cyrl-BA" w:eastAsia="ja-JP"/>
        </w:rPr>
        <w:t>procjenjeni</w:t>
      </w:r>
      <w:proofErr w:type="spellEnd"/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gubici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2018. </w:t>
      </w:r>
      <w:r>
        <w:rPr>
          <w:rFonts w:eastAsia="MS Mincho" w:cs="Tahoma"/>
          <w:sz w:val="24"/>
          <w:szCs w:val="24"/>
          <w:lang w:val="sr-Cyrl-BA" w:eastAsia="ja-JP"/>
        </w:rPr>
        <w:t>godini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 w:rsidRPr="00D66CE6">
        <w:rPr>
          <w:rFonts w:eastAsia="MS Mincho" w:cs="Tahoma"/>
          <w:b/>
          <w:sz w:val="24"/>
          <w:szCs w:val="24"/>
          <w:lang w:val="sr-Cyrl-BA" w:eastAsia="ja-JP"/>
        </w:rPr>
        <w:br w:type="page"/>
      </w:r>
      <w:r>
        <w:rPr>
          <w:rFonts w:eastAsia="MS Mincho" w:cs="Tahoma"/>
          <w:b/>
          <w:sz w:val="24"/>
          <w:szCs w:val="24"/>
          <w:lang w:val="sr-Cyrl-BA" w:eastAsia="ja-JP"/>
        </w:rPr>
        <w:lastRenderedPageBreak/>
        <w:t>Prihodi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koji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priznaju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na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osnovu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MRS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18 </w:t>
      </w:r>
      <w:r>
        <w:rPr>
          <w:rFonts w:eastAsia="MS Mincho" w:cs="Tahoma"/>
          <w:b/>
          <w:sz w:val="24"/>
          <w:szCs w:val="24"/>
          <w:lang w:val="sr-Cyrl-BA" w:eastAsia="ja-JP"/>
        </w:rPr>
        <w:t>su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7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nastala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obaveza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dividende</w:t>
      </w:r>
    </w:p>
    <w:p w:rsidR="00D66CE6" w:rsidRPr="00D66CE6" w:rsidRDefault="00D66CE6" w:rsidP="00D66CE6">
      <w:pPr>
        <w:numPr>
          <w:ilvl w:val="0"/>
          <w:numId w:val="7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izvršene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usluge</w:t>
      </w:r>
    </w:p>
    <w:p w:rsidR="00D66CE6" w:rsidRPr="00D66CE6" w:rsidRDefault="00D66CE6" w:rsidP="00D66CE6">
      <w:pPr>
        <w:numPr>
          <w:ilvl w:val="0"/>
          <w:numId w:val="7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davanje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licence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na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korišćenje</w:t>
      </w:r>
    </w:p>
    <w:p w:rsidR="00D66CE6" w:rsidRPr="00D66CE6" w:rsidRDefault="00D66CE6" w:rsidP="00D66CE6">
      <w:pPr>
        <w:numPr>
          <w:ilvl w:val="0"/>
          <w:numId w:val="7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promjena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vrijednosti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zaliha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vlastitih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učinaka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Državne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donacije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koje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priznaju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prihod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periodu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kada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primljene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mogu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biti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8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podsticaji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ostvareni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izvoz</w:t>
      </w:r>
    </w:p>
    <w:p w:rsidR="00D66CE6" w:rsidRPr="00D66CE6" w:rsidRDefault="00D66CE6" w:rsidP="00D66CE6">
      <w:pPr>
        <w:numPr>
          <w:ilvl w:val="0"/>
          <w:numId w:val="8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dobijena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sredstva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nabavku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BA" w:eastAsia="ja-JP"/>
        </w:rPr>
        <w:t>muznih</w:t>
      </w:r>
      <w:proofErr w:type="spellEnd"/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krava</w:t>
      </w:r>
    </w:p>
    <w:p w:rsidR="00D66CE6" w:rsidRPr="00D66CE6" w:rsidRDefault="00D66CE6" w:rsidP="00D66CE6">
      <w:pPr>
        <w:numPr>
          <w:ilvl w:val="0"/>
          <w:numId w:val="8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pomoć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za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sanaciju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štete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od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poplava</w:t>
      </w:r>
    </w:p>
    <w:p w:rsidR="00D66CE6" w:rsidRPr="00D66CE6" w:rsidRDefault="00D66CE6" w:rsidP="00D66CE6">
      <w:pPr>
        <w:numPr>
          <w:ilvl w:val="0"/>
          <w:numId w:val="8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subvencija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nabavku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poljoprivrednih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mašina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Negativne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BA" w:eastAsia="ja-JP"/>
        </w:rPr>
        <w:t>kursne</w:t>
      </w:r>
      <w:proofErr w:type="spellEnd"/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razlike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priznaju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direktno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okviru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kapitala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slučaju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kada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9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poreska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pravila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vezi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priznavanja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BA" w:eastAsia="ja-JP"/>
        </w:rPr>
        <w:t>kursnih</w:t>
      </w:r>
      <w:proofErr w:type="spellEnd"/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razlika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razlikuju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BA" w:eastAsia="ja-JP"/>
        </w:rPr>
        <w:t>odpravila</w:t>
      </w:r>
      <w:proofErr w:type="spellEnd"/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finansijskom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sz w:val="24"/>
          <w:szCs w:val="24"/>
          <w:lang w:val="sr-Cyrl-BA" w:eastAsia="ja-JP"/>
        </w:rPr>
        <w:t>računovdostvu</w:t>
      </w:r>
      <w:proofErr w:type="spellEnd"/>
    </w:p>
    <w:p w:rsidR="00D66CE6" w:rsidRPr="00D66CE6" w:rsidRDefault="00D66CE6" w:rsidP="00D66CE6">
      <w:pPr>
        <w:numPr>
          <w:ilvl w:val="0"/>
          <w:numId w:val="9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zemlji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čijoj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valuti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iskazano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potraživanje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vlada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hiperinflacija</w:t>
      </w:r>
    </w:p>
    <w:p w:rsidR="00D66CE6" w:rsidRPr="00D66CE6" w:rsidRDefault="00D66CE6" w:rsidP="00D66CE6">
      <w:pPr>
        <w:numPr>
          <w:ilvl w:val="0"/>
          <w:numId w:val="9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zemlji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čijoj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valuti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iskazana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obaveza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vlada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hiperinflacija</w:t>
      </w:r>
    </w:p>
    <w:p w:rsidR="00D66CE6" w:rsidRPr="00D66CE6" w:rsidRDefault="00D66CE6" w:rsidP="00D66CE6">
      <w:pPr>
        <w:numPr>
          <w:ilvl w:val="0"/>
          <w:numId w:val="9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kod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prevođenja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inostranog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poslovanja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 w:rsidRPr="00D66CE6">
        <w:rPr>
          <w:rFonts w:eastAsia="MS Mincho" w:cs="Tahoma"/>
          <w:b/>
          <w:sz w:val="24"/>
          <w:szCs w:val="24"/>
          <w:lang w:val="sr-Cyrl-BA" w:eastAsia="ja-JP"/>
        </w:rPr>
        <w:t>А</w:t>
      </w:r>
      <w:r>
        <w:rPr>
          <w:rFonts w:eastAsia="MS Mincho" w:cs="Tahoma"/>
          <w:b/>
          <w:sz w:val="24"/>
          <w:szCs w:val="24"/>
          <w:lang w:val="sr-Cyrl-BA" w:eastAsia="ja-JP"/>
        </w:rPr>
        <w:t>ko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entitet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primjenjuje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MSFI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za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, </w:t>
      </w:r>
      <w:r>
        <w:rPr>
          <w:rFonts w:eastAsia="MS Mincho" w:cs="Tahoma"/>
          <w:b/>
          <w:sz w:val="24"/>
          <w:szCs w:val="24"/>
          <w:lang w:val="sr-Cyrl-BA" w:eastAsia="ja-JP"/>
        </w:rPr>
        <w:t>troškovi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pozajmljivanja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koji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mogu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kapitalizovati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10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kamata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koja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može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direktno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pripisati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sticanju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sredstva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kvalifikuje</w:t>
      </w:r>
    </w:p>
    <w:p w:rsidR="00D66CE6" w:rsidRPr="00D66CE6" w:rsidRDefault="00D66CE6" w:rsidP="00D66CE6">
      <w:pPr>
        <w:numPr>
          <w:ilvl w:val="0"/>
          <w:numId w:val="10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troškovi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obrade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kredita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koji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može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direktno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pripisati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sticanju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sredstva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klasifikuje</w:t>
      </w:r>
    </w:p>
    <w:p w:rsidR="00D66CE6" w:rsidRPr="00D66CE6" w:rsidRDefault="00D66CE6" w:rsidP="00D66CE6">
      <w:pPr>
        <w:numPr>
          <w:ilvl w:val="0"/>
          <w:numId w:val="10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troškovi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obrade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kredita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koji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može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direktno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pripisati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sticanju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sredstva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se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klasifikuje</w:t>
      </w:r>
    </w:p>
    <w:p w:rsidR="00D66CE6" w:rsidRPr="00D66CE6" w:rsidRDefault="00D66CE6" w:rsidP="00D66CE6">
      <w:pPr>
        <w:numPr>
          <w:ilvl w:val="0"/>
          <w:numId w:val="10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troškovi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pozajmljivanja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ne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mogu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kapitalizovati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skladu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sa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MRS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1 </w:t>
      </w:r>
      <w:r>
        <w:rPr>
          <w:rFonts w:eastAsia="MS Mincho" w:cs="Tahoma"/>
          <w:b/>
          <w:sz w:val="24"/>
          <w:szCs w:val="24"/>
          <w:lang w:val="sr-Cyrl-BA" w:eastAsia="ja-JP"/>
        </w:rPr>
        <w:t>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bruto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principom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11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zabranjeno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je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kompenzovanje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sličnih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stavki</w:t>
      </w:r>
    </w:p>
    <w:p w:rsidR="00D66CE6" w:rsidRPr="00D66CE6" w:rsidRDefault="00D66CE6" w:rsidP="00D66CE6">
      <w:pPr>
        <w:numPr>
          <w:ilvl w:val="0"/>
          <w:numId w:val="11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zabranjeno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je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kompenzovanje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potraživanja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obaveza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od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različitih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partnera</w:t>
      </w:r>
    </w:p>
    <w:p w:rsidR="00D66CE6" w:rsidRPr="00D66CE6" w:rsidRDefault="00D66CE6" w:rsidP="00D66CE6">
      <w:pPr>
        <w:numPr>
          <w:ilvl w:val="0"/>
          <w:numId w:val="11"/>
        </w:numPr>
        <w:spacing w:before="144" w:after="144"/>
        <w:contextualSpacing/>
        <w:rPr>
          <w:rFonts w:eastAsia="MS Mincho" w:cs="Tahoma"/>
          <w:sz w:val="24"/>
          <w:szCs w:val="24"/>
          <w:lang w:val="sr-Cyrl-BA" w:eastAsia="ja-JP"/>
        </w:rPr>
      </w:pPr>
      <w:r>
        <w:rPr>
          <w:rFonts w:eastAsia="MS Mincho" w:cs="Tahoma"/>
          <w:sz w:val="24"/>
          <w:szCs w:val="24"/>
          <w:lang w:val="sr-Cyrl-BA" w:eastAsia="ja-JP"/>
        </w:rPr>
        <w:t>zabranjeno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kompenzovanje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potraživanja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obaveza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od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istih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partnera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ako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kompenzacija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nije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provedena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preko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žiro</w:t>
      </w:r>
      <w:r w:rsidRPr="00D66CE6">
        <w:rPr>
          <w:rFonts w:eastAsia="MS Mincho" w:cs="Tahoma"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sz w:val="24"/>
          <w:szCs w:val="24"/>
          <w:lang w:val="sr-Cyrl-BA" w:eastAsia="ja-JP"/>
        </w:rPr>
        <w:t>računa</w:t>
      </w:r>
    </w:p>
    <w:p w:rsidR="00D66CE6" w:rsidRPr="00D66CE6" w:rsidRDefault="00D66CE6" w:rsidP="00D66CE6">
      <w:pPr>
        <w:numPr>
          <w:ilvl w:val="0"/>
          <w:numId w:val="11"/>
        </w:numPr>
        <w:spacing w:before="144" w:after="144"/>
        <w:contextualSpacing/>
        <w:rPr>
          <w:rFonts w:eastAsia="MS Mincho" w:cs="Tahoma"/>
          <w:b/>
          <w:sz w:val="24"/>
          <w:szCs w:val="24"/>
          <w:u w:val="single"/>
          <w:lang w:val="sr-Cyrl-BA" w:eastAsia="ja-JP"/>
        </w:rPr>
      </w:pP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prihoda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od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prodate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i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troškova</w:t>
      </w:r>
      <w:r w:rsidRPr="00D66CE6">
        <w:rPr>
          <w:rFonts w:eastAsia="MS Mincho" w:cs="Tahoma"/>
          <w:b/>
          <w:sz w:val="24"/>
          <w:szCs w:val="24"/>
          <w:u w:val="single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u w:val="single"/>
          <w:lang w:val="sr-Cyrl-BA" w:eastAsia="ja-JP"/>
        </w:rPr>
        <w:t>prodaje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Rashod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bilanci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uspjeha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priznaje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: </w:t>
      </w:r>
    </w:p>
    <w:p w:rsidR="00D66CE6" w:rsidRPr="00D66CE6" w:rsidRDefault="00D66CE6" w:rsidP="00D66CE6">
      <w:pPr>
        <w:numPr>
          <w:ilvl w:val="0"/>
          <w:numId w:val="15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kada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dođe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povećanja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budućih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ekonomskih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koristi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povezanih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povećanjem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sredstava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smanjenjem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obveza</w:t>
      </w:r>
      <w:r w:rsidRPr="00D66CE6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mogu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pouzdano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izmjeriti</w:t>
      </w:r>
    </w:p>
    <w:p w:rsidR="00D66CE6" w:rsidRPr="00D66CE6" w:rsidRDefault="00D66CE6" w:rsidP="00D66CE6">
      <w:pPr>
        <w:numPr>
          <w:ilvl w:val="0"/>
          <w:numId w:val="15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kada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dođe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smanjenja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budućih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ekonomskih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koristi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povezano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smanjenjem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sredstava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povećanjem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obveza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sz w:val="24"/>
          <w:szCs w:val="24"/>
          <w:u w:val="single"/>
          <w:lang w:val="sr-Cyrl-CS" w:eastAsia="en-US"/>
        </w:rPr>
        <w:t>koje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može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pouzdano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izmjeriti</w:t>
      </w:r>
    </w:p>
    <w:p w:rsidR="00D66CE6" w:rsidRPr="00D66CE6" w:rsidRDefault="00D66CE6" w:rsidP="00D66CE6">
      <w:pPr>
        <w:numPr>
          <w:ilvl w:val="0"/>
          <w:numId w:val="15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temelju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izravne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povezanosti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između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nastalih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troškova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ostvarenih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prihoda</w:t>
      </w:r>
    </w:p>
    <w:p w:rsidR="00D66CE6" w:rsidRPr="00D66CE6" w:rsidRDefault="00D66CE6" w:rsidP="00D66CE6">
      <w:pPr>
        <w:numPr>
          <w:ilvl w:val="0"/>
          <w:numId w:val="15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kada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izdatak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donosi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nikakve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buduće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ekonomske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koristi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kada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iznosa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kojeg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sz w:val="24"/>
          <w:szCs w:val="24"/>
          <w:u w:val="single"/>
          <w:lang w:val="sr-Cyrl-CS" w:eastAsia="en-US"/>
        </w:rPr>
        <w:t>buduće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ekonomske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koristi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ispunjavaju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uvjete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prestale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ispunjavati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uvjete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sz w:val="24"/>
          <w:szCs w:val="24"/>
          <w:u w:val="single"/>
          <w:lang w:val="sr-Cyrl-CS" w:eastAsia="en-US"/>
        </w:rPr>
        <w:t>za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priznavanje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bilanci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stanja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kao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sredstva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 w:rsidRPr="00D66CE6">
        <w:rPr>
          <w:rFonts w:eastAsia="MS Mincho" w:cs="Tahoma"/>
          <w:b/>
          <w:sz w:val="24"/>
          <w:szCs w:val="24"/>
          <w:lang w:val="sr-Cyrl-CS" w:eastAsia="ja-JP"/>
        </w:rPr>
        <w:br w:type="page"/>
      </w:r>
      <w:r>
        <w:rPr>
          <w:rFonts w:eastAsia="MS Mincho" w:cs="Tahoma"/>
          <w:b/>
          <w:sz w:val="24"/>
          <w:szCs w:val="24"/>
          <w:lang w:val="sr-Cyrl-CS" w:eastAsia="ja-JP"/>
        </w:rPr>
        <w:lastRenderedPageBreak/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trošak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zaliha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(</w:t>
      </w:r>
      <w:r>
        <w:rPr>
          <w:rFonts w:eastAsia="MS Mincho" w:cs="Tahoma"/>
          <w:b/>
          <w:sz w:val="24"/>
          <w:szCs w:val="24"/>
          <w:lang w:val="sr-Cyrl-CS" w:eastAsia="ja-JP"/>
        </w:rPr>
        <w:t>nabavna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vrijednost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zaliha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/ </w:t>
      </w:r>
      <w:r>
        <w:rPr>
          <w:rFonts w:eastAsia="MS Mincho" w:cs="Tahoma"/>
          <w:b/>
          <w:sz w:val="24"/>
          <w:szCs w:val="24"/>
          <w:lang w:val="sr-Cyrl-CS" w:eastAsia="ja-JP"/>
        </w:rPr>
        <w:t>cijena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koštanja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zaliha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CS" w:eastAsia="ja-JP"/>
        </w:rPr>
        <w:t>treba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uključiti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: </w:t>
      </w:r>
    </w:p>
    <w:p w:rsidR="00D66CE6" w:rsidRPr="00D66CE6" w:rsidRDefault="00D66CE6" w:rsidP="00D66CE6">
      <w:pPr>
        <w:numPr>
          <w:ilvl w:val="0"/>
          <w:numId w:val="16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sve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troškove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nabave</w:t>
      </w:r>
    </w:p>
    <w:p w:rsidR="00D66CE6" w:rsidRPr="00D66CE6" w:rsidRDefault="00D66CE6" w:rsidP="00D66CE6">
      <w:pPr>
        <w:numPr>
          <w:ilvl w:val="0"/>
          <w:numId w:val="16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troškove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konverzije</w:t>
      </w:r>
    </w:p>
    <w:p w:rsidR="00D66CE6" w:rsidRPr="00D66CE6" w:rsidRDefault="00D66CE6" w:rsidP="00D66CE6">
      <w:pPr>
        <w:numPr>
          <w:ilvl w:val="0"/>
          <w:numId w:val="16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troškove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prodaje</w:t>
      </w:r>
    </w:p>
    <w:p w:rsidR="00D66CE6" w:rsidRPr="00D66CE6" w:rsidRDefault="00D66CE6" w:rsidP="00D66CE6">
      <w:pPr>
        <w:numPr>
          <w:ilvl w:val="0"/>
          <w:numId w:val="16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druge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troškove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koji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nastali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dovođenjem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zaliha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sadašnju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lokaciju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sadašnje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stanje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Zaokružite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točne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tvrdnje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14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uvjetima</w:t>
      </w:r>
      <w:proofErr w:type="spellEnd"/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rasta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cijena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zaliha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primjenom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FIFO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iskazati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manju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dobit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nego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što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bilo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primjenom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prosječnih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ponderiranih</w:t>
      </w:r>
      <w:proofErr w:type="spellEnd"/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cijena</w:t>
      </w:r>
    </w:p>
    <w:p w:rsidR="00D66CE6" w:rsidRPr="00D66CE6" w:rsidRDefault="00D66CE6" w:rsidP="00D66CE6">
      <w:pPr>
        <w:numPr>
          <w:ilvl w:val="0"/>
          <w:numId w:val="14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uvjetima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rasta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cijena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zaliha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primjenom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FIFO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metode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društvo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će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iskazati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veću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dobit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nego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što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to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bilo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primjenom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metode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prosječnih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ponderiranih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cijena</w:t>
      </w:r>
    </w:p>
    <w:p w:rsidR="00D66CE6" w:rsidRPr="00D66CE6" w:rsidRDefault="00D66CE6" w:rsidP="00D66CE6">
      <w:pPr>
        <w:numPr>
          <w:ilvl w:val="0"/>
          <w:numId w:val="14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uvjetima</w:t>
      </w:r>
      <w:proofErr w:type="spellEnd"/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pada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cijena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zaliha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primjenom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FIFO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iskazati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veću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dobit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nego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što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bilo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primjenom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prosječnih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ponderiranih</w:t>
      </w:r>
      <w:proofErr w:type="spellEnd"/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cijena</w:t>
      </w:r>
    </w:p>
    <w:p w:rsidR="00D66CE6" w:rsidRPr="00D66CE6" w:rsidRDefault="00D66CE6" w:rsidP="00D66CE6">
      <w:pPr>
        <w:numPr>
          <w:ilvl w:val="0"/>
          <w:numId w:val="14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uvjetima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pada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cijena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zaliha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primjenom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FIFO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metode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društvo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će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iskazati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manju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dobit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nego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što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to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bilo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primjenom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metode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prosječnih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cijena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Primjeri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novčanih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tokova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investicijskih</w:t>
      </w:r>
      <w:proofErr w:type="spellEnd"/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aktivnosti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jesu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: </w:t>
      </w:r>
    </w:p>
    <w:p w:rsidR="00D66CE6" w:rsidRPr="00D66CE6" w:rsidRDefault="00D66CE6" w:rsidP="00D66CE6">
      <w:pPr>
        <w:numPr>
          <w:ilvl w:val="0"/>
          <w:numId w:val="17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novčani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primici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izdavanja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dionica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drugih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vlasničkih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instrumenata</w:t>
      </w:r>
    </w:p>
    <w:p w:rsidR="00D66CE6" w:rsidRPr="00D66CE6" w:rsidRDefault="00D66CE6" w:rsidP="00D66CE6">
      <w:pPr>
        <w:numPr>
          <w:ilvl w:val="0"/>
          <w:numId w:val="17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novčani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primici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s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osnove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prodaje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dionica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(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udjela</w:t>
      </w:r>
      <w:proofErr w:type="spellEnd"/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)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drugih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subjekata</w:t>
      </w:r>
    </w:p>
    <w:p w:rsidR="00D66CE6" w:rsidRPr="00D66CE6" w:rsidRDefault="00D66CE6" w:rsidP="00D66CE6">
      <w:pPr>
        <w:numPr>
          <w:ilvl w:val="0"/>
          <w:numId w:val="17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novčane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isplate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dividendi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(</w:t>
      </w:r>
      <w:r>
        <w:rPr>
          <w:rFonts w:cs="Tahoma"/>
          <w:bCs/>
          <w:sz w:val="24"/>
          <w:szCs w:val="24"/>
          <w:lang w:val="sr-Cyrl-CS" w:eastAsia="en-US"/>
        </w:rPr>
        <w:t>ili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bCs/>
          <w:sz w:val="24"/>
          <w:szCs w:val="24"/>
          <w:lang w:val="sr-Cyrl-CS" w:eastAsia="en-US"/>
        </w:rPr>
        <w:t>udjela</w:t>
      </w:r>
      <w:proofErr w:type="spellEnd"/>
      <w:r w:rsidRPr="00D66CE6">
        <w:rPr>
          <w:rFonts w:cs="Tahoma"/>
          <w:bCs/>
          <w:sz w:val="24"/>
          <w:szCs w:val="24"/>
          <w:lang w:val="en-US" w:eastAsia="en-US"/>
        </w:rPr>
        <w:t xml:space="preserve">) </w:t>
      </w:r>
      <w:r>
        <w:rPr>
          <w:rFonts w:cs="Tahoma"/>
          <w:bCs/>
          <w:sz w:val="24"/>
          <w:szCs w:val="24"/>
          <w:lang w:val="sr-Cyrl-CS" w:eastAsia="en-US"/>
        </w:rPr>
        <w:t>vlasnicima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društva</w:t>
      </w:r>
    </w:p>
    <w:p w:rsidR="00D66CE6" w:rsidRPr="00D66CE6" w:rsidRDefault="00D66CE6" w:rsidP="00D66CE6">
      <w:pPr>
        <w:numPr>
          <w:ilvl w:val="0"/>
          <w:numId w:val="17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novčane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isplate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za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stjecanje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vlasničkih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dužničkih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instrumenata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drugih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subjekata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Koje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navedenih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tvrdnji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vezanih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privremene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razlike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točne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: </w:t>
      </w:r>
    </w:p>
    <w:p w:rsidR="00D66CE6" w:rsidRPr="00D66CE6" w:rsidRDefault="00D66CE6" w:rsidP="00D66CE6">
      <w:pPr>
        <w:numPr>
          <w:ilvl w:val="0"/>
          <w:numId w:val="18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odgođena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porezna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sredstva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poreza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dobit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plativi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budućim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razdobljima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oporezive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privremene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razlike</w:t>
      </w:r>
    </w:p>
    <w:p w:rsidR="00D66CE6" w:rsidRPr="00D66CE6" w:rsidRDefault="00D66CE6" w:rsidP="00D66CE6">
      <w:pPr>
        <w:numPr>
          <w:ilvl w:val="0"/>
          <w:numId w:val="18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odgođene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porezne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obveze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iznosi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poreza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dobit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plativi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budućim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razdobljima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koji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odnose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oporezive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privremene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razlike</w:t>
      </w:r>
    </w:p>
    <w:p w:rsidR="00D66CE6" w:rsidRPr="00D66CE6" w:rsidRDefault="00D66CE6" w:rsidP="00D66CE6">
      <w:pPr>
        <w:numPr>
          <w:ilvl w:val="0"/>
          <w:numId w:val="18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sz w:val="24"/>
          <w:szCs w:val="24"/>
          <w:u w:val="single"/>
          <w:lang w:val="sr-Cyrl-CS" w:eastAsia="en-US"/>
        </w:rPr>
        <w:t>odgođena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porezna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sredstva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iznosi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poreza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dobit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za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povrat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budućim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razdobljima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koji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se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odnose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na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u w:val="single"/>
          <w:lang w:val="sr-Cyrl-CS" w:eastAsia="en-US"/>
        </w:rPr>
        <w:t>odbitne</w:t>
      </w:r>
      <w:proofErr w:type="spellEnd"/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privremene</w:t>
      </w:r>
      <w:r w:rsidRPr="00D66CE6">
        <w:rPr>
          <w:rFonts w:cs="Tahoma"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sz w:val="24"/>
          <w:szCs w:val="24"/>
          <w:u w:val="single"/>
          <w:lang w:val="sr-Cyrl-CS" w:eastAsia="en-US"/>
        </w:rPr>
        <w:t>razlike</w:t>
      </w:r>
    </w:p>
    <w:p w:rsidR="00D66CE6" w:rsidRPr="00D66CE6" w:rsidRDefault="00D66CE6" w:rsidP="00D66CE6">
      <w:pPr>
        <w:numPr>
          <w:ilvl w:val="0"/>
          <w:numId w:val="18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odgođene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porezne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obveze</w:t>
      </w:r>
      <w:proofErr w:type="spellEnd"/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poreza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dobit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povrat</w:t>
      </w:r>
      <w:proofErr w:type="spellEnd"/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budućim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razdobljima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odnose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odbitne</w:t>
      </w:r>
      <w:proofErr w:type="spellEnd"/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privremene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razlike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Koje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navedenih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metoda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amortizacije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navode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MRS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16: </w:t>
      </w:r>
    </w:p>
    <w:p w:rsidR="00D66CE6" w:rsidRPr="00D66CE6" w:rsidRDefault="00D66CE6" w:rsidP="00D66CE6">
      <w:pPr>
        <w:numPr>
          <w:ilvl w:val="0"/>
          <w:numId w:val="19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linearna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metoda</w:t>
      </w:r>
    </w:p>
    <w:p w:rsidR="00D66CE6" w:rsidRPr="00D66CE6" w:rsidRDefault="00D66CE6" w:rsidP="00D66CE6">
      <w:pPr>
        <w:numPr>
          <w:ilvl w:val="0"/>
          <w:numId w:val="19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progresivna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metoda</w:t>
      </w:r>
    </w:p>
    <w:p w:rsidR="00D66CE6" w:rsidRPr="00D66CE6" w:rsidRDefault="00D66CE6" w:rsidP="00D66CE6">
      <w:pPr>
        <w:numPr>
          <w:ilvl w:val="0"/>
          <w:numId w:val="19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metoda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opadajućeg</w:t>
      </w:r>
      <w:proofErr w:type="spellEnd"/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salda</w:t>
      </w:r>
    </w:p>
    <w:p w:rsidR="00D66CE6" w:rsidRPr="00D66CE6" w:rsidRDefault="00D66CE6" w:rsidP="00D66CE6">
      <w:pPr>
        <w:numPr>
          <w:ilvl w:val="0"/>
          <w:numId w:val="19"/>
        </w:numPr>
        <w:spacing w:before="60"/>
        <w:ind w:left="709" w:hanging="283"/>
        <w:jc w:val="both"/>
        <w:rPr>
          <w:rFonts w:cs="Tahoma"/>
          <w:sz w:val="24"/>
          <w:szCs w:val="24"/>
          <w:u w:val="single"/>
          <w:lang w:val="en-US" w:eastAsia="en-US"/>
        </w:rPr>
      </w:pP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metoda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jedinice</w:t>
      </w:r>
      <w:r w:rsidRPr="00D66CE6">
        <w:rPr>
          <w:rFonts w:cs="Tahoma"/>
          <w:bCs/>
          <w:i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u w:val="single"/>
          <w:lang w:val="sr-Cyrl-CS" w:eastAsia="en-US"/>
        </w:rPr>
        <w:t>proizvoda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 w:rsidRPr="00D66CE6">
        <w:rPr>
          <w:rFonts w:eastAsia="MS Mincho" w:cs="Tahoma"/>
          <w:b/>
          <w:sz w:val="24"/>
          <w:szCs w:val="24"/>
          <w:lang w:val="sr-Cyrl-CS" w:eastAsia="ja-JP"/>
        </w:rPr>
        <w:br w:type="page"/>
      </w:r>
      <w:r>
        <w:rPr>
          <w:rFonts w:eastAsia="MS Mincho" w:cs="Tahoma"/>
          <w:b/>
          <w:sz w:val="24"/>
          <w:szCs w:val="24"/>
          <w:lang w:val="sr-Cyrl-CS" w:eastAsia="ja-JP"/>
        </w:rPr>
        <w:lastRenderedPageBreak/>
        <w:t>Imovinu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drže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financijskim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najmom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najmodavci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trebaju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početno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priznati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izvještaju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financijskom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položaju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kao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: </w:t>
      </w:r>
    </w:p>
    <w:p w:rsidR="00D66CE6" w:rsidRPr="00D66CE6" w:rsidRDefault="00D66CE6" w:rsidP="00D66CE6">
      <w:pPr>
        <w:numPr>
          <w:ilvl w:val="0"/>
          <w:numId w:val="12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bCs/>
          <w:sz w:val="24"/>
          <w:szCs w:val="24"/>
          <w:lang w:val="sr-Cyrl-CS" w:eastAsia="en-US"/>
        </w:rPr>
        <w:t>investicijsku</w:t>
      </w:r>
      <w:proofErr w:type="spellEnd"/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nekretninu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iznosu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koji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je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jednak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bruto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ulaganju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najam</w:t>
      </w:r>
    </w:p>
    <w:p w:rsidR="00D66CE6" w:rsidRPr="00D66CE6" w:rsidRDefault="00D66CE6" w:rsidP="00D66CE6">
      <w:pPr>
        <w:numPr>
          <w:ilvl w:val="0"/>
          <w:numId w:val="12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proofErr w:type="spellStart"/>
      <w:r>
        <w:rPr>
          <w:rFonts w:cs="Tahoma"/>
          <w:bCs/>
          <w:sz w:val="24"/>
          <w:szCs w:val="24"/>
          <w:lang w:val="sr-Cyrl-CS" w:eastAsia="en-US"/>
        </w:rPr>
        <w:t>investicijsku</w:t>
      </w:r>
      <w:proofErr w:type="spellEnd"/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nekretninu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iznosu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koji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je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jednak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neto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ulaganju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najam</w:t>
      </w:r>
    </w:p>
    <w:p w:rsidR="00D66CE6" w:rsidRPr="00D66CE6" w:rsidRDefault="00D66CE6" w:rsidP="00D66CE6">
      <w:pPr>
        <w:numPr>
          <w:ilvl w:val="0"/>
          <w:numId w:val="12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potraživanje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iznosu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koji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je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jednak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bruto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ulaganju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najam</w:t>
      </w:r>
    </w:p>
    <w:p w:rsidR="00D66CE6" w:rsidRPr="00D66CE6" w:rsidRDefault="00D66CE6" w:rsidP="00D66CE6">
      <w:pPr>
        <w:numPr>
          <w:ilvl w:val="0"/>
          <w:numId w:val="12"/>
        </w:numPr>
        <w:spacing w:before="60"/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potraživanje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iznosu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koji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je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jednak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neto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ulaganju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b/>
          <w:bCs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u w:val="single"/>
          <w:lang w:val="sr-Cyrl-CS" w:eastAsia="en-US"/>
        </w:rPr>
        <w:t>najam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Primjeri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situacija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kada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subjekt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priznaje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prihod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prema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MRS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18 </w:t>
      </w:r>
      <w:r>
        <w:rPr>
          <w:rFonts w:eastAsia="MS Mincho" w:cs="Tahoma"/>
          <w:b/>
          <w:sz w:val="24"/>
          <w:szCs w:val="24"/>
          <w:lang w:val="sr-Cyrl-CS" w:eastAsia="ja-JP"/>
        </w:rPr>
        <w:t>su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: </w:t>
      </w:r>
    </w:p>
    <w:p w:rsidR="00D66CE6" w:rsidRPr="00D66CE6" w:rsidRDefault="00D66CE6" w:rsidP="00D66CE6">
      <w:pPr>
        <w:numPr>
          <w:ilvl w:val="0"/>
          <w:numId w:val="13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bCs/>
          <w:iCs/>
          <w:sz w:val="24"/>
          <w:szCs w:val="24"/>
          <w:lang w:val="sr-Cyrl-CS" w:eastAsia="en-US"/>
        </w:rPr>
        <w:t>kada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je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bCs/>
          <w:iCs/>
          <w:sz w:val="24"/>
          <w:szCs w:val="24"/>
          <w:lang w:val="sr-Cyrl-CS" w:eastAsia="en-US"/>
        </w:rPr>
        <w:t>prodavatelj</w:t>
      </w:r>
      <w:proofErr w:type="spellEnd"/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bCs/>
          <w:iCs/>
          <w:sz w:val="24"/>
          <w:szCs w:val="24"/>
          <w:lang w:val="sr-Cyrl-CS" w:eastAsia="en-US"/>
        </w:rPr>
        <w:t>prenio</w:t>
      </w:r>
      <w:proofErr w:type="spellEnd"/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značajne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rizike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i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koristi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vlasništva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, </w:t>
      </w:r>
      <w:r>
        <w:rPr>
          <w:rFonts w:cs="Tahoma"/>
          <w:bCs/>
          <w:iCs/>
          <w:sz w:val="24"/>
          <w:szCs w:val="24"/>
          <w:lang w:val="sr-Cyrl-CS" w:eastAsia="en-US"/>
        </w:rPr>
        <w:t>ali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pravno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zadržava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vlasništvo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nad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robom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isključivo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radi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zaštite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naplativosti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bCs/>
          <w:iCs/>
          <w:sz w:val="24"/>
          <w:szCs w:val="24"/>
          <w:lang w:val="sr-Cyrl-CS" w:eastAsia="en-US"/>
        </w:rPr>
        <w:t>dospjelog</w:t>
      </w:r>
      <w:proofErr w:type="spellEnd"/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iznosa</w:t>
      </w:r>
    </w:p>
    <w:p w:rsidR="00D66CE6" w:rsidRPr="00D66CE6" w:rsidRDefault="00D66CE6" w:rsidP="00D66CE6">
      <w:pPr>
        <w:numPr>
          <w:ilvl w:val="0"/>
          <w:numId w:val="13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bCs/>
          <w:iCs/>
          <w:sz w:val="24"/>
          <w:szCs w:val="24"/>
          <w:lang w:val="sr-Cyrl-CS" w:eastAsia="en-US"/>
        </w:rPr>
        <w:t>kada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bCs/>
          <w:iCs/>
          <w:sz w:val="24"/>
          <w:szCs w:val="24"/>
          <w:lang w:val="sr-Cyrl-CS" w:eastAsia="en-US"/>
        </w:rPr>
        <w:t>prodavatelj</w:t>
      </w:r>
      <w:proofErr w:type="spellEnd"/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kupcu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nudi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bCs/>
          <w:iCs/>
          <w:sz w:val="24"/>
          <w:szCs w:val="24"/>
          <w:lang w:val="sr-Cyrl-CS" w:eastAsia="en-US"/>
        </w:rPr>
        <w:t>povrat</w:t>
      </w:r>
      <w:proofErr w:type="spellEnd"/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novca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, </w:t>
      </w:r>
      <w:r>
        <w:rPr>
          <w:rFonts w:cs="Tahoma"/>
          <w:bCs/>
          <w:iCs/>
          <w:sz w:val="24"/>
          <w:szCs w:val="24"/>
          <w:lang w:val="sr-Cyrl-CS" w:eastAsia="en-US"/>
        </w:rPr>
        <w:t>ako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kupac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nije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zadovoljan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kupljenom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iCs/>
          <w:sz w:val="24"/>
          <w:szCs w:val="24"/>
          <w:lang w:val="sr-Cyrl-CS" w:eastAsia="en-US"/>
        </w:rPr>
        <w:t>robom</w:t>
      </w:r>
      <w:r w:rsidRPr="00D66CE6">
        <w:rPr>
          <w:rFonts w:cs="Tahoma"/>
          <w:bCs/>
          <w:iCs/>
          <w:sz w:val="24"/>
          <w:szCs w:val="24"/>
          <w:lang w:val="en-US" w:eastAsia="en-US"/>
        </w:rPr>
        <w:t xml:space="preserve"> </w:t>
      </w:r>
    </w:p>
    <w:p w:rsidR="00D66CE6" w:rsidRPr="00D66CE6" w:rsidRDefault="00D66CE6" w:rsidP="00D66CE6">
      <w:pPr>
        <w:numPr>
          <w:ilvl w:val="0"/>
          <w:numId w:val="13"/>
        </w:numPr>
        <w:spacing w:before="60"/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kada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kupcu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isporučeni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instaliraju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instaliranje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značajan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dio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ugovora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subjekt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još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nije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dovršio</w:t>
      </w:r>
    </w:p>
    <w:p w:rsidR="00D66CE6" w:rsidRPr="00D66CE6" w:rsidRDefault="00D66CE6" w:rsidP="00D66CE6">
      <w:pPr>
        <w:numPr>
          <w:ilvl w:val="0"/>
          <w:numId w:val="13"/>
        </w:numPr>
        <w:spacing w:before="60"/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kada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kupac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ima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pravo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opozvati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kupnju</w:t>
      </w:r>
      <w:proofErr w:type="spellEnd"/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iz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razloga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navedenoga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ugovoru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kupnji</w:t>
      </w:r>
      <w:proofErr w:type="spellEnd"/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subjekt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nije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siguran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glede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vjerojatnosti</w:t>
      </w:r>
      <w:proofErr w:type="spellEnd"/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povrata</w:t>
      </w:r>
      <w:proofErr w:type="spellEnd"/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Gubitak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umanjenja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(</w:t>
      </w:r>
      <w:proofErr w:type="spellStart"/>
      <w:r>
        <w:rPr>
          <w:rFonts w:eastAsia="MS Mincho" w:cs="Tahoma"/>
          <w:b/>
          <w:sz w:val="24"/>
          <w:szCs w:val="24"/>
          <w:lang w:val="sr-Cyrl-CS" w:eastAsia="ja-JP"/>
        </w:rPr>
        <w:t>imparitetni</w:t>
      </w:r>
      <w:proofErr w:type="spellEnd"/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gubitak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) </w:t>
      </w:r>
      <w:r>
        <w:rPr>
          <w:rFonts w:eastAsia="MS Mincho" w:cs="Tahoma"/>
          <w:b/>
          <w:sz w:val="24"/>
          <w:szCs w:val="24"/>
          <w:lang w:val="sr-Cyrl-CS" w:eastAsia="ja-JP"/>
        </w:rPr>
        <w:t>je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: </w:t>
      </w:r>
    </w:p>
    <w:p w:rsidR="00D66CE6" w:rsidRPr="00D66CE6" w:rsidRDefault="00D66CE6" w:rsidP="00D66CE6">
      <w:pPr>
        <w:numPr>
          <w:ilvl w:val="0"/>
          <w:numId w:val="21"/>
        </w:numPr>
        <w:spacing w:before="60"/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iznos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knjigovodstvena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vrijednost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imovine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jedinice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stvara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novac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viša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njene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nadoknadive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vrijednosti</w:t>
      </w:r>
    </w:p>
    <w:p w:rsidR="00D66CE6" w:rsidRPr="00D66CE6" w:rsidRDefault="00D66CE6" w:rsidP="00D66CE6">
      <w:pPr>
        <w:numPr>
          <w:ilvl w:val="0"/>
          <w:numId w:val="21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iznos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fer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imovine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jedinice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stvara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novac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viša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njene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nadoknadive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vrijednosti</w:t>
      </w:r>
    </w:p>
    <w:p w:rsidR="00D66CE6" w:rsidRPr="00D66CE6" w:rsidRDefault="00D66CE6" w:rsidP="00D66CE6">
      <w:pPr>
        <w:numPr>
          <w:ilvl w:val="0"/>
          <w:numId w:val="21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iznos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nadoknadiva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imovine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jedinice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stvara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novac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viša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njene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vrijednosti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D66CE6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upotrebi</w:t>
      </w:r>
    </w:p>
    <w:p w:rsidR="00D66CE6" w:rsidRPr="00D66CE6" w:rsidRDefault="00D66CE6" w:rsidP="00D66CE6">
      <w:pPr>
        <w:numPr>
          <w:ilvl w:val="0"/>
          <w:numId w:val="21"/>
        </w:numPr>
        <w:spacing w:before="60"/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iznos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knjigovodstvena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vrijednost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imovine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jedinice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stvara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novac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viša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njezine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fer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vrijednosti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umanjene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prodaje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njezine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vrijednosti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upotrebi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(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ovisno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što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više</w:t>
      </w: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</w:p>
    <w:p w:rsidR="00D66CE6" w:rsidRPr="00D66CE6" w:rsidRDefault="00D66CE6" w:rsidP="00D66CE6">
      <w:pPr>
        <w:numPr>
          <w:ilvl w:val="0"/>
          <w:numId w:val="1"/>
        </w:numPr>
        <w:spacing w:before="360" w:after="120"/>
        <w:ind w:left="425" w:hanging="425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Ukupna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potraživanja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kupaca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matice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„</w:t>
      </w:r>
      <w:r>
        <w:rPr>
          <w:rFonts w:eastAsia="MS Mincho" w:cs="Tahoma"/>
          <w:b/>
          <w:sz w:val="24"/>
          <w:szCs w:val="24"/>
          <w:lang w:val="sr-Cyrl-CS" w:eastAsia="ja-JP"/>
        </w:rPr>
        <w:t>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“ </w:t>
      </w:r>
      <w:r>
        <w:rPr>
          <w:rFonts w:eastAsia="MS Mincho" w:cs="Tahoma"/>
          <w:b/>
          <w:sz w:val="24"/>
          <w:szCs w:val="24"/>
          <w:lang w:val="sr-Cyrl-CS" w:eastAsia="ja-JP"/>
        </w:rPr>
        <w:t>iznose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200.000 </w:t>
      </w:r>
      <w:r>
        <w:rPr>
          <w:rFonts w:eastAsia="MS Mincho" w:cs="Tahoma"/>
          <w:b/>
          <w:sz w:val="24"/>
          <w:szCs w:val="24"/>
          <w:lang w:val="sr-Cyrl-CS" w:eastAsia="ja-JP"/>
        </w:rPr>
        <w:t>KM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. </w:t>
      </w:r>
      <w:r>
        <w:rPr>
          <w:rFonts w:eastAsia="MS Mincho" w:cs="Tahoma"/>
          <w:b/>
          <w:sz w:val="24"/>
          <w:szCs w:val="24"/>
          <w:lang w:val="sr-Cyrl-CS" w:eastAsia="ja-JP"/>
        </w:rPr>
        <w:t>Potraživanja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ovisnog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društva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„</w:t>
      </w:r>
      <w:r>
        <w:rPr>
          <w:rFonts w:eastAsia="MS Mincho" w:cs="Tahoma"/>
          <w:b/>
          <w:sz w:val="24"/>
          <w:szCs w:val="24"/>
          <w:lang w:val="sr-Cyrl-CS" w:eastAsia="ja-JP"/>
        </w:rPr>
        <w:t>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1“ </w:t>
      </w:r>
      <w:r>
        <w:rPr>
          <w:rFonts w:eastAsia="MS Mincho" w:cs="Tahoma"/>
          <w:b/>
          <w:sz w:val="24"/>
          <w:szCs w:val="24"/>
          <w:lang w:val="sr-Cyrl-CS" w:eastAsia="ja-JP"/>
        </w:rPr>
        <w:t>iznose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40.000 </w:t>
      </w:r>
      <w:r>
        <w:rPr>
          <w:rFonts w:eastAsia="MS Mincho" w:cs="Tahoma"/>
          <w:b/>
          <w:sz w:val="24"/>
          <w:szCs w:val="24"/>
          <w:lang w:val="sr-Cyrl-CS" w:eastAsia="ja-JP"/>
        </w:rPr>
        <w:t>KM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potraživanja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ovisnog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društva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„</w:t>
      </w:r>
      <w:r>
        <w:rPr>
          <w:rFonts w:eastAsia="MS Mincho" w:cs="Tahoma"/>
          <w:b/>
          <w:sz w:val="24"/>
          <w:szCs w:val="24"/>
          <w:lang w:val="sr-Cyrl-CS" w:eastAsia="ja-JP"/>
        </w:rPr>
        <w:t>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1“ 30.000 </w:t>
      </w:r>
      <w:r>
        <w:rPr>
          <w:rFonts w:eastAsia="MS Mincho" w:cs="Tahoma"/>
          <w:b/>
          <w:sz w:val="24"/>
          <w:szCs w:val="24"/>
          <w:lang w:val="sr-Cyrl-CS" w:eastAsia="ja-JP"/>
        </w:rPr>
        <w:t>KM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. </w:t>
      </w:r>
      <w:r>
        <w:rPr>
          <w:rFonts w:eastAsia="MS Mincho" w:cs="Tahoma"/>
          <w:b/>
          <w:sz w:val="24"/>
          <w:szCs w:val="24"/>
          <w:lang w:val="sr-Cyrl-CS" w:eastAsia="ja-JP"/>
        </w:rPr>
        <w:t>Koji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iznos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potraživanja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kupaca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će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matica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„</w:t>
      </w:r>
      <w:r>
        <w:rPr>
          <w:rFonts w:eastAsia="MS Mincho" w:cs="Tahoma"/>
          <w:b/>
          <w:sz w:val="24"/>
          <w:szCs w:val="24"/>
          <w:lang w:val="sr-Cyrl-CS" w:eastAsia="ja-JP"/>
        </w:rPr>
        <w:t>M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“ </w:t>
      </w:r>
      <w:r>
        <w:rPr>
          <w:rFonts w:eastAsia="MS Mincho" w:cs="Tahoma"/>
          <w:b/>
          <w:sz w:val="24"/>
          <w:szCs w:val="24"/>
          <w:lang w:val="sr-Cyrl-CS" w:eastAsia="ja-JP"/>
        </w:rPr>
        <w:t>iskazati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svojoj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konsolidiranoj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bilanci</w:t>
      </w:r>
      <w:r w:rsidRPr="00D66CE6">
        <w:rPr>
          <w:rFonts w:eastAsia="MS Mincho" w:cs="Tahoma"/>
          <w:b/>
          <w:sz w:val="24"/>
          <w:szCs w:val="24"/>
          <w:lang w:val="sr-Cyrl-BA" w:eastAsia="ja-JP"/>
        </w:rPr>
        <w:t>:</w:t>
      </w:r>
    </w:p>
    <w:p w:rsidR="00D66CE6" w:rsidRPr="00D66CE6" w:rsidRDefault="00D66CE6" w:rsidP="00D66CE6">
      <w:pPr>
        <w:numPr>
          <w:ilvl w:val="0"/>
          <w:numId w:val="20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 w:rsidRPr="00D66CE6">
        <w:rPr>
          <w:rFonts w:cs="Tahoma"/>
          <w:sz w:val="24"/>
          <w:szCs w:val="24"/>
          <w:lang w:val="en-US" w:eastAsia="en-US"/>
        </w:rPr>
        <w:t xml:space="preserve">  70.000 </w:t>
      </w:r>
      <w:r>
        <w:rPr>
          <w:rFonts w:cs="Tahoma"/>
          <w:sz w:val="24"/>
          <w:szCs w:val="24"/>
          <w:lang w:val="sr-Cyrl-CS" w:eastAsia="en-US"/>
        </w:rPr>
        <w:t>KM</w:t>
      </w:r>
    </w:p>
    <w:p w:rsidR="00D66CE6" w:rsidRPr="00D66CE6" w:rsidRDefault="00D66CE6" w:rsidP="00D66CE6">
      <w:pPr>
        <w:numPr>
          <w:ilvl w:val="0"/>
          <w:numId w:val="20"/>
        </w:numPr>
        <w:spacing w:before="60"/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 w:rsidRPr="00D66CE6">
        <w:rPr>
          <w:rFonts w:cs="Tahoma"/>
          <w:b/>
          <w:sz w:val="24"/>
          <w:szCs w:val="24"/>
          <w:u w:val="single"/>
          <w:lang w:val="en-US" w:eastAsia="en-US"/>
        </w:rPr>
        <w:t xml:space="preserve">130.000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KM</w:t>
      </w:r>
    </w:p>
    <w:p w:rsidR="00D66CE6" w:rsidRPr="00D66CE6" w:rsidRDefault="00D66CE6" w:rsidP="00D66CE6">
      <w:pPr>
        <w:numPr>
          <w:ilvl w:val="0"/>
          <w:numId w:val="20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 w:rsidRPr="00D66CE6">
        <w:rPr>
          <w:rFonts w:cs="Tahoma"/>
          <w:sz w:val="24"/>
          <w:szCs w:val="24"/>
          <w:lang w:val="en-US" w:eastAsia="en-US"/>
        </w:rPr>
        <w:t xml:space="preserve">200.000 </w:t>
      </w:r>
      <w:r>
        <w:rPr>
          <w:rFonts w:cs="Tahoma"/>
          <w:sz w:val="24"/>
          <w:szCs w:val="24"/>
          <w:lang w:val="sr-Cyrl-CS" w:eastAsia="en-US"/>
        </w:rPr>
        <w:t>KM</w:t>
      </w:r>
    </w:p>
    <w:p w:rsidR="00D66CE6" w:rsidRPr="00D66CE6" w:rsidRDefault="00D66CE6" w:rsidP="00D66CE6">
      <w:pPr>
        <w:numPr>
          <w:ilvl w:val="0"/>
          <w:numId w:val="20"/>
        </w:numPr>
        <w:spacing w:before="60"/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 w:rsidRPr="00D66CE6">
        <w:rPr>
          <w:rFonts w:cs="Tahoma"/>
          <w:sz w:val="24"/>
          <w:szCs w:val="24"/>
          <w:lang w:val="en-US" w:eastAsia="en-US"/>
        </w:rPr>
        <w:t xml:space="preserve">270.000 </w:t>
      </w:r>
      <w:r>
        <w:rPr>
          <w:rFonts w:cs="Tahoma"/>
          <w:sz w:val="24"/>
          <w:szCs w:val="24"/>
          <w:lang w:val="sr-Cyrl-CS" w:eastAsia="en-US"/>
        </w:rPr>
        <w:t>KM</w:t>
      </w:r>
    </w:p>
    <w:p w:rsidR="00D66CE6" w:rsidRPr="00D66CE6" w:rsidRDefault="00D66CE6" w:rsidP="00D66CE6">
      <w:pPr>
        <w:rPr>
          <w:rFonts w:cs="Tahoma"/>
          <w:sz w:val="24"/>
          <w:szCs w:val="24"/>
          <w:lang w:val="en-US" w:eastAsia="en-US"/>
        </w:rPr>
      </w:pPr>
    </w:p>
    <w:p w:rsidR="00D66CE6" w:rsidRPr="00D66CE6" w:rsidRDefault="00D66CE6" w:rsidP="00D66CE6">
      <w:pPr>
        <w:jc w:val="both"/>
        <w:rPr>
          <w:rFonts w:cs="Tahoma"/>
          <w:b/>
          <w:sz w:val="24"/>
          <w:szCs w:val="24"/>
          <w:lang w:val="ru-RU" w:eastAsia="en-US"/>
        </w:rPr>
      </w:pPr>
      <w:r w:rsidRPr="00D66CE6">
        <w:rPr>
          <w:rFonts w:cs="Tahoma"/>
          <w:b/>
          <w:sz w:val="24"/>
          <w:szCs w:val="24"/>
          <w:lang w:val="en-US" w:eastAsia="en-US"/>
        </w:rPr>
        <w:br w:type="page"/>
      </w:r>
      <w:r w:rsidRPr="00D66CE6">
        <w:rPr>
          <w:rFonts w:cs="Tahoma"/>
          <w:b/>
          <w:sz w:val="24"/>
          <w:szCs w:val="24"/>
          <w:lang w:val="en-US" w:eastAsia="en-US"/>
        </w:rPr>
        <w:lastRenderedPageBreak/>
        <w:t xml:space="preserve">II - </w:t>
      </w:r>
      <w:r>
        <w:rPr>
          <w:rFonts w:cs="Tahoma"/>
          <w:b/>
          <w:sz w:val="24"/>
          <w:szCs w:val="24"/>
          <w:lang w:val="sr-Cyrl-CS" w:eastAsia="en-US"/>
        </w:rPr>
        <w:t>Z</w:t>
      </w:r>
      <w:r w:rsidRPr="00D66CE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sr-Cyrl-CS" w:eastAsia="en-US"/>
        </w:rPr>
        <w:t>D</w:t>
      </w:r>
      <w:r w:rsidRPr="00D66CE6">
        <w:rPr>
          <w:rFonts w:cs="Tahoma"/>
          <w:b/>
          <w:sz w:val="24"/>
          <w:szCs w:val="24"/>
          <w:lang w:val="sr-Cyrl-CS" w:eastAsia="en-US"/>
        </w:rPr>
        <w:t>А</w:t>
      </w:r>
      <w:r>
        <w:rPr>
          <w:rFonts w:cs="Tahoma"/>
          <w:b/>
          <w:sz w:val="24"/>
          <w:szCs w:val="24"/>
          <w:lang w:val="ru-RU" w:eastAsia="en-US"/>
        </w:rPr>
        <w:t>CI</w:t>
      </w:r>
    </w:p>
    <w:p w:rsidR="00D66CE6" w:rsidRPr="00D66CE6" w:rsidRDefault="00D66CE6" w:rsidP="00D66CE6">
      <w:pPr>
        <w:jc w:val="both"/>
        <w:rPr>
          <w:rFonts w:cs="Tahoma"/>
          <w:b/>
          <w:sz w:val="24"/>
          <w:szCs w:val="24"/>
          <w:lang w:val="ru-RU" w:eastAsia="en-US"/>
        </w:rPr>
      </w:pPr>
    </w:p>
    <w:p w:rsidR="00D66CE6" w:rsidRPr="00D66CE6" w:rsidRDefault="00D66CE6" w:rsidP="00D66CE6">
      <w:pPr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ru-RU" w:eastAsia="en-US"/>
        </w:rPr>
        <w:t>Zadatak</w:t>
      </w:r>
      <w:r w:rsidRPr="00D66CE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broj</w:t>
      </w:r>
      <w:r w:rsidRPr="00D66CE6">
        <w:rPr>
          <w:rFonts w:cs="Tahoma"/>
          <w:b/>
          <w:sz w:val="24"/>
          <w:szCs w:val="24"/>
          <w:lang w:val="ru-RU" w:eastAsia="en-US"/>
        </w:rPr>
        <w:t xml:space="preserve"> 1</w:t>
      </w:r>
    </w:p>
    <w:p w:rsidR="00D66CE6" w:rsidRPr="00D66CE6" w:rsidRDefault="00D66CE6" w:rsidP="00D66CE6">
      <w:pPr>
        <w:spacing w:before="120"/>
        <w:jc w:val="both"/>
        <w:rPr>
          <w:rFonts w:cs="Tahoma"/>
          <w:sz w:val="24"/>
          <w:szCs w:val="24"/>
          <w:lang w:val="bs-Latn-BA" w:eastAsia="x-none"/>
        </w:rPr>
      </w:pPr>
      <w:r>
        <w:rPr>
          <w:rFonts w:cs="Tahoma"/>
          <w:sz w:val="24"/>
          <w:szCs w:val="24"/>
          <w:lang w:val="sr-Cyrl-CS" w:eastAsia="x-none"/>
        </w:rPr>
        <w:t>Preduzeće</w:t>
      </w:r>
      <w:r w:rsidRPr="00D66CE6">
        <w:rPr>
          <w:rFonts w:cs="Tahoma"/>
          <w:sz w:val="24"/>
          <w:szCs w:val="24"/>
          <w:lang w:val="bs-Latn-BA" w:eastAsia="x-none"/>
        </w:rPr>
        <w:t xml:space="preserve"> «</w:t>
      </w:r>
      <w:r w:rsidRPr="00D66CE6">
        <w:rPr>
          <w:rFonts w:cs="Tahoma"/>
          <w:sz w:val="24"/>
          <w:szCs w:val="24"/>
          <w:lang w:val="sr-Cyrl-CS" w:eastAsia="x-none"/>
        </w:rPr>
        <w:t>А</w:t>
      </w:r>
      <w:r>
        <w:rPr>
          <w:rFonts w:cs="Tahoma"/>
          <w:sz w:val="24"/>
          <w:szCs w:val="24"/>
          <w:lang w:val="sr-Cyrl-CS" w:eastAsia="x-none"/>
        </w:rPr>
        <w:t>B</w:t>
      </w:r>
      <w:r w:rsidRPr="00D66CE6">
        <w:rPr>
          <w:rFonts w:cs="Tahoma"/>
          <w:sz w:val="24"/>
          <w:szCs w:val="24"/>
          <w:lang w:val="bs-Latn-BA" w:eastAsia="x-none"/>
        </w:rPr>
        <w:t xml:space="preserve">» </w:t>
      </w:r>
      <w:r>
        <w:rPr>
          <w:rFonts w:cs="Tahoma"/>
          <w:sz w:val="24"/>
          <w:szCs w:val="24"/>
          <w:lang w:val="sr-Cyrl-CS" w:eastAsia="x-none"/>
        </w:rPr>
        <w:t>imalo</w:t>
      </w:r>
      <w:r w:rsidRPr="00D66CE6">
        <w:rPr>
          <w:rFonts w:cs="Tahoma"/>
          <w:sz w:val="24"/>
          <w:szCs w:val="24"/>
          <w:lang w:val="bs-Latn-BA" w:eastAsia="x-none"/>
        </w:rPr>
        <w:t xml:space="preserve"> </w:t>
      </w:r>
      <w:r>
        <w:rPr>
          <w:rFonts w:cs="Tahoma"/>
          <w:sz w:val="24"/>
          <w:szCs w:val="24"/>
          <w:lang w:val="sr-Cyrl-CS" w:eastAsia="x-none"/>
        </w:rPr>
        <w:t>je</w:t>
      </w:r>
      <w:r w:rsidRPr="00D66CE6">
        <w:rPr>
          <w:rFonts w:cs="Tahoma"/>
          <w:sz w:val="24"/>
          <w:szCs w:val="24"/>
          <w:lang w:val="bs-Latn-BA" w:eastAsia="x-none"/>
        </w:rPr>
        <w:t xml:space="preserve"> </w:t>
      </w:r>
      <w:r>
        <w:rPr>
          <w:rFonts w:cs="Tahoma"/>
          <w:sz w:val="24"/>
          <w:szCs w:val="24"/>
          <w:lang w:val="sr-Cyrl-CS" w:eastAsia="x-none"/>
        </w:rPr>
        <w:t>sljedeće</w:t>
      </w:r>
      <w:r w:rsidRPr="00D66CE6">
        <w:rPr>
          <w:rFonts w:cs="Tahoma"/>
          <w:sz w:val="24"/>
          <w:szCs w:val="24"/>
          <w:lang w:val="bs-Latn-BA" w:eastAsia="x-none"/>
        </w:rPr>
        <w:t xml:space="preserve"> </w:t>
      </w:r>
      <w:r>
        <w:rPr>
          <w:rFonts w:cs="Tahoma"/>
          <w:bCs/>
          <w:sz w:val="24"/>
          <w:szCs w:val="24"/>
          <w:lang w:val="sr-Cyrl-CS" w:eastAsia="x-none"/>
        </w:rPr>
        <w:t>bilanse</w:t>
      </w:r>
      <w:r w:rsidRPr="00D66CE6">
        <w:rPr>
          <w:rFonts w:cs="Tahoma"/>
          <w:bCs/>
          <w:sz w:val="24"/>
          <w:szCs w:val="24"/>
          <w:lang w:val="bs-Latn-BA" w:eastAsia="x-none"/>
        </w:rPr>
        <w:t xml:space="preserve"> </w:t>
      </w:r>
      <w:r>
        <w:rPr>
          <w:rFonts w:cs="Tahoma"/>
          <w:bCs/>
          <w:sz w:val="24"/>
          <w:szCs w:val="24"/>
          <w:lang w:val="sr-Cyrl-CS" w:eastAsia="x-none"/>
        </w:rPr>
        <w:t>stanja</w:t>
      </w:r>
      <w:r w:rsidRPr="00D66CE6">
        <w:rPr>
          <w:rFonts w:cs="Tahoma"/>
          <w:sz w:val="24"/>
          <w:szCs w:val="24"/>
          <w:lang w:val="bs-Latn-BA" w:eastAsia="x-none"/>
        </w:rPr>
        <w:t xml:space="preserve"> </w:t>
      </w:r>
      <w:r>
        <w:rPr>
          <w:rFonts w:cs="Tahoma"/>
          <w:sz w:val="24"/>
          <w:szCs w:val="24"/>
          <w:lang w:val="sr-Cyrl-CS" w:eastAsia="x-none"/>
        </w:rPr>
        <w:t>za</w:t>
      </w:r>
      <w:r w:rsidRPr="00D66CE6">
        <w:rPr>
          <w:rFonts w:cs="Tahoma"/>
          <w:sz w:val="24"/>
          <w:szCs w:val="24"/>
          <w:lang w:val="bs-Latn-BA" w:eastAsia="x-none"/>
        </w:rPr>
        <w:t xml:space="preserve"> 2012. </w:t>
      </w:r>
      <w:r>
        <w:rPr>
          <w:rFonts w:cs="Tahoma"/>
          <w:sz w:val="24"/>
          <w:szCs w:val="24"/>
          <w:lang w:val="sr-Cyrl-CS" w:eastAsia="x-none"/>
        </w:rPr>
        <w:t>i</w:t>
      </w:r>
      <w:r w:rsidRPr="00D66CE6">
        <w:rPr>
          <w:rFonts w:cs="Tahoma"/>
          <w:sz w:val="24"/>
          <w:szCs w:val="24"/>
          <w:lang w:val="bs-Latn-BA" w:eastAsia="x-none"/>
        </w:rPr>
        <w:t xml:space="preserve"> 2013. </w:t>
      </w:r>
      <w:r>
        <w:rPr>
          <w:rFonts w:cs="Tahoma"/>
          <w:sz w:val="24"/>
          <w:szCs w:val="24"/>
          <w:lang w:val="sr-Cyrl-CS" w:eastAsia="x-none"/>
        </w:rPr>
        <w:t>godinu</w:t>
      </w:r>
      <w:r w:rsidRPr="00D66CE6">
        <w:rPr>
          <w:rFonts w:cs="Tahoma"/>
          <w:sz w:val="24"/>
          <w:szCs w:val="24"/>
          <w:lang w:val="bs-Latn-BA" w:eastAsia="x-none"/>
        </w:rPr>
        <w:t>:</w:t>
      </w:r>
    </w:p>
    <w:p w:rsidR="00D66CE6" w:rsidRPr="00D66CE6" w:rsidRDefault="00D66CE6" w:rsidP="00D66CE6">
      <w:pPr>
        <w:spacing w:before="120"/>
        <w:jc w:val="both"/>
        <w:rPr>
          <w:rFonts w:cs="Tahoma"/>
          <w:b/>
          <w:bCs/>
          <w:sz w:val="24"/>
          <w:szCs w:val="24"/>
          <w:lang w:val="sr-Latn-CS" w:eastAsia="x-none"/>
        </w:rPr>
      </w:pPr>
    </w:p>
    <w:tbl>
      <w:tblPr>
        <w:tblW w:w="7771" w:type="dxa"/>
        <w:tblInd w:w="108" w:type="dxa"/>
        <w:tblLook w:val="0000" w:firstRow="0" w:lastRow="0" w:firstColumn="0" w:lastColumn="0" w:noHBand="0" w:noVBand="0"/>
      </w:tblPr>
      <w:tblGrid>
        <w:gridCol w:w="3759"/>
        <w:gridCol w:w="2038"/>
        <w:gridCol w:w="1974"/>
      </w:tblGrid>
      <w:tr w:rsidR="00D66CE6" w:rsidRPr="00D66CE6" w:rsidTr="00295BD3">
        <w:trPr>
          <w:trHeight w:val="274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E6E6E6"/>
          </w:tcPr>
          <w:p w:rsidR="00D66CE6" w:rsidRPr="00D66CE6" w:rsidRDefault="00D66CE6" w:rsidP="00D66CE6">
            <w:pPr>
              <w:ind w:left="283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Pozicija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bilansa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stanja</w:t>
            </w:r>
          </w:p>
        </w:tc>
        <w:tc>
          <w:tcPr>
            <w:tcW w:w="1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D66CE6" w:rsidRPr="00D66CE6" w:rsidRDefault="00D66CE6" w:rsidP="00D66CE6">
            <w:pPr>
              <w:ind w:left="283"/>
              <w:jc w:val="center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>31</w:t>
            </w:r>
            <w:proofErr w:type="gramStart"/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>.X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II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>.2012</w:t>
            </w:r>
            <w:proofErr w:type="gramEnd"/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</w:tcPr>
          <w:p w:rsidR="00D66CE6" w:rsidRPr="00D66CE6" w:rsidRDefault="00D66CE6" w:rsidP="00D66CE6">
            <w:pPr>
              <w:ind w:left="283"/>
              <w:jc w:val="center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>31. X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II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>.2013.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Zemljište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60.000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60.000 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Građevinski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objekti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240.000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240.000 </w:t>
            </w:r>
          </w:p>
        </w:tc>
      </w:tr>
      <w:tr w:rsidR="00D66CE6" w:rsidRPr="00D66CE6" w:rsidTr="00295BD3">
        <w:trPr>
          <w:trHeight w:val="274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Ispravka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vrednosti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objekata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- 80.000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- 86.000 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Oprema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140.000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190.000 </w:t>
            </w:r>
          </w:p>
        </w:tc>
      </w:tr>
      <w:tr w:rsidR="00D66CE6" w:rsidRPr="00D66CE6" w:rsidTr="00295BD3">
        <w:trPr>
          <w:trHeight w:val="87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Ispravka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vrednosti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opreme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- 50.000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- 66.000 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Zalihe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robe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34.000 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Potraživanja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kupaca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36.000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48.000 </w:t>
            </w:r>
          </w:p>
        </w:tc>
      </w:tr>
      <w:tr w:rsidR="00D66CE6" w:rsidRPr="00D66CE6" w:rsidTr="00295BD3">
        <w:trPr>
          <w:trHeight w:val="274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Novčana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sredstva</w:t>
            </w: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14.000 </w:t>
            </w:r>
          </w:p>
        </w:tc>
        <w:tc>
          <w:tcPr>
            <w:tcW w:w="1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10.000 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Ukupna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aktiva</w:t>
            </w:r>
          </w:p>
        </w:tc>
        <w:tc>
          <w:tcPr>
            <w:tcW w:w="1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400.000 </w:t>
            </w:r>
          </w:p>
        </w:tc>
        <w:tc>
          <w:tcPr>
            <w:tcW w:w="197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430.000 </w:t>
            </w:r>
          </w:p>
        </w:tc>
      </w:tr>
      <w:tr w:rsidR="00D66CE6" w:rsidRPr="00D66CE6" w:rsidTr="00295BD3">
        <w:trPr>
          <w:trHeight w:val="3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4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77" w:type="dxa"/>
            <w:tcBorders>
              <w:top w:val="doub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4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  <w:tc>
          <w:tcPr>
            <w:tcW w:w="1977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4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trHeight w:val="274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kcijski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kapital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>
              <w:rPr>
                <w:rFonts w:cs="Tahoma"/>
                <w:sz w:val="24"/>
                <w:szCs w:val="24"/>
                <w:lang w:val="sr-Cyrl-CS" w:eastAsia="en-US"/>
              </w:rPr>
              <w:t>redovine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akcije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214.000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214.000 </w:t>
            </w:r>
          </w:p>
        </w:tc>
      </w:tr>
      <w:tr w:rsidR="00D66CE6" w:rsidRPr="00D66CE6" w:rsidTr="00295BD3">
        <w:trPr>
          <w:trHeight w:val="274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Zadržana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(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akumulisana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)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dobit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34.000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50.000 </w:t>
            </w:r>
          </w:p>
        </w:tc>
      </w:tr>
      <w:tr w:rsidR="00D66CE6" w:rsidRPr="00D66CE6" w:rsidTr="00295BD3">
        <w:trPr>
          <w:trHeight w:val="274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Obaveze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dugoročnim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kreditima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80.000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60.000 </w:t>
            </w:r>
          </w:p>
        </w:tc>
      </w:tr>
      <w:tr w:rsidR="00D66CE6" w:rsidRPr="00D66CE6" w:rsidTr="00295BD3">
        <w:trPr>
          <w:trHeight w:val="274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Izdate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obveznice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(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dugoročne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20.000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70.000 </w:t>
            </w:r>
          </w:p>
        </w:tc>
      </w:tr>
      <w:tr w:rsidR="00D66CE6" w:rsidRPr="00D66CE6" w:rsidTr="00295BD3">
        <w:trPr>
          <w:trHeight w:val="274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Obaveze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prema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dobavljačima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46.000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32.000 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Obaveze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poreze</w:t>
            </w:r>
          </w:p>
        </w:tc>
        <w:tc>
          <w:tcPr>
            <w:tcW w:w="1977" w:type="dxa"/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6.000 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425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4.000 </w:t>
            </w:r>
          </w:p>
        </w:tc>
      </w:tr>
      <w:tr w:rsidR="00D66CE6" w:rsidRPr="00D66CE6" w:rsidTr="00295BD3">
        <w:trPr>
          <w:trHeight w:val="259"/>
        </w:trPr>
        <w:tc>
          <w:tcPr>
            <w:tcW w:w="3817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Ukupna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pasiva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400.000 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 w:right="397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430.000 </w:t>
            </w:r>
          </w:p>
        </w:tc>
      </w:tr>
    </w:tbl>
    <w:p w:rsidR="00D66CE6" w:rsidRPr="00D66CE6" w:rsidRDefault="00D66CE6" w:rsidP="00D66CE6">
      <w:pPr>
        <w:spacing w:before="120" w:after="60"/>
        <w:jc w:val="both"/>
        <w:rPr>
          <w:rFonts w:cs="Tahoma"/>
          <w:b/>
          <w:bCs/>
          <w:sz w:val="24"/>
          <w:szCs w:val="24"/>
          <w:lang w:val="en-US" w:eastAsia="en-US"/>
        </w:rPr>
      </w:pPr>
    </w:p>
    <w:p w:rsidR="00D66CE6" w:rsidRPr="00D66CE6" w:rsidRDefault="00D66CE6" w:rsidP="00D66CE6">
      <w:pPr>
        <w:spacing w:before="120" w:after="60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Bilans</w:t>
      </w:r>
      <w:r w:rsidRPr="00D66CE6">
        <w:rPr>
          <w:rFonts w:cs="Tahoma"/>
          <w:b/>
          <w:bCs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uspjeha</w:t>
      </w:r>
      <w:r w:rsidRPr="00D66CE6">
        <w:rPr>
          <w:rFonts w:cs="Tahoma"/>
          <w:b/>
          <w:bCs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za</w:t>
      </w:r>
      <w:r w:rsidRPr="00D66CE6">
        <w:rPr>
          <w:rFonts w:cs="Tahoma"/>
          <w:b/>
          <w:bCs/>
          <w:sz w:val="24"/>
          <w:szCs w:val="24"/>
          <w:lang w:val="sr-Latn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period</w:t>
      </w:r>
      <w:r w:rsidRPr="00D66CE6">
        <w:rPr>
          <w:rFonts w:cs="Tahoma"/>
          <w:b/>
          <w:bCs/>
          <w:sz w:val="24"/>
          <w:szCs w:val="24"/>
          <w:lang w:val="sr-Latn-CS" w:eastAsia="en-US"/>
        </w:rPr>
        <w:t xml:space="preserve"> 01.01.2013. – 31.12.2013.</w:t>
      </w:r>
    </w:p>
    <w:tbl>
      <w:tblPr>
        <w:tblW w:w="6765" w:type="dxa"/>
        <w:tblInd w:w="108" w:type="dxa"/>
        <w:tblLook w:val="0000" w:firstRow="0" w:lastRow="0" w:firstColumn="0" w:lastColumn="0" w:noHBand="0" w:noVBand="0"/>
      </w:tblPr>
      <w:tblGrid>
        <w:gridCol w:w="4029"/>
        <w:gridCol w:w="1329"/>
        <w:gridCol w:w="1407"/>
      </w:tblGrid>
      <w:tr w:rsidR="00D66CE6" w:rsidRPr="00D66CE6" w:rsidTr="00295BD3">
        <w:tc>
          <w:tcPr>
            <w:tcW w:w="40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Prihod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prodaje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400.000 </w:t>
            </w:r>
          </w:p>
        </w:tc>
        <w:tc>
          <w:tcPr>
            <w:tcW w:w="14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Nabavna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vrednost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prodate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robe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- 250.000 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Bruto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dobit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150.000 </w:t>
            </w: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sr-Cyrl-C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Dobitak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prodaje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mašine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4.000 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amortizacije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- 36.000 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zarada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- 40.000 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sr-Cyrl-CS" w:eastAsia="en-US"/>
              </w:rPr>
              <w:t>А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dministrativni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drugi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rashodi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- 27.000 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Rashod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kamate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- 2.000 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Rashod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porez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- 12.000 </w:t>
            </w:r>
          </w:p>
        </w:tc>
        <w:tc>
          <w:tcPr>
            <w:tcW w:w="1407" w:type="dxa"/>
            <w:tcBorders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c>
          <w:tcPr>
            <w:tcW w:w="40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left="283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Neto</w:t>
            </w: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b/>
                <w:bCs/>
                <w:sz w:val="24"/>
                <w:szCs w:val="24"/>
                <w:lang w:val="sr-Cyrl-CS" w:eastAsia="en-US"/>
              </w:rPr>
              <w:t>dobit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tabs>
                <w:tab w:val="left" w:pos="972"/>
              </w:tabs>
              <w:ind w:right="132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CE6" w:rsidRPr="00D66CE6" w:rsidRDefault="00D66CE6" w:rsidP="00D66CE6">
            <w:pPr>
              <w:ind w:right="132"/>
              <w:jc w:val="right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  <w:t xml:space="preserve">37.000 </w:t>
            </w:r>
          </w:p>
        </w:tc>
      </w:tr>
    </w:tbl>
    <w:p w:rsidR="00D66CE6" w:rsidRPr="00D66CE6" w:rsidRDefault="00D66CE6" w:rsidP="00D66CE6">
      <w:pPr>
        <w:spacing w:before="180"/>
        <w:rPr>
          <w:rFonts w:cs="Tahoma"/>
          <w:sz w:val="24"/>
          <w:szCs w:val="24"/>
          <w:lang w:val="pl-PL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Dodatne</w:t>
      </w:r>
      <w:r w:rsidRPr="00D66CE6">
        <w:rPr>
          <w:rFonts w:cs="Tahoma"/>
          <w:bCs/>
          <w:sz w:val="24"/>
          <w:szCs w:val="24"/>
          <w:lang w:val="pl-PL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informacije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ukazuju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sljedeće</w:t>
      </w:r>
      <w:r w:rsidRPr="00D66CE6">
        <w:rPr>
          <w:rFonts w:cs="Tahoma"/>
          <w:sz w:val="24"/>
          <w:szCs w:val="24"/>
          <w:lang w:val="pl-PL" w:eastAsia="en-US"/>
        </w:rPr>
        <w:t>:</w:t>
      </w:r>
    </w:p>
    <w:p w:rsidR="00D66CE6" w:rsidRPr="00D66CE6" w:rsidRDefault="00D66CE6" w:rsidP="00D66CE6">
      <w:pPr>
        <w:numPr>
          <w:ilvl w:val="0"/>
          <w:numId w:val="3"/>
        </w:numPr>
        <w:spacing w:before="60"/>
        <w:ind w:left="709" w:hanging="283"/>
        <w:jc w:val="both"/>
        <w:rPr>
          <w:rFonts w:cs="Tahoma"/>
          <w:sz w:val="24"/>
          <w:szCs w:val="24"/>
          <w:lang w:val="pl-PL" w:eastAsia="en-US"/>
        </w:rPr>
      </w:pPr>
      <w:r>
        <w:rPr>
          <w:rFonts w:cs="Tahoma"/>
          <w:sz w:val="24"/>
          <w:szCs w:val="24"/>
          <w:lang w:val="sr-Cyrl-CS" w:eastAsia="en-US"/>
        </w:rPr>
        <w:t>Kupljeno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postrojenje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D66CE6">
        <w:rPr>
          <w:rFonts w:cs="Tahoma"/>
          <w:sz w:val="24"/>
          <w:szCs w:val="24"/>
          <w:lang w:val="pl-PL" w:eastAsia="en-US"/>
        </w:rPr>
        <w:t xml:space="preserve"> 80.000</w:t>
      </w:r>
      <w:r w:rsidRPr="00D66CE6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KM</w:t>
      </w:r>
      <w:r w:rsidRPr="00D66CE6">
        <w:rPr>
          <w:rFonts w:cs="Tahoma"/>
          <w:sz w:val="24"/>
          <w:szCs w:val="24"/>
          <w:lang w:val="pl-PL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D66CE6">
        <w:rPr>
          <w:rFonts w:cs="Tahoma"/>
          <w:sz w:val="24"/>
          <w:szCs w:val="24"/>
          <w:lang w:val="pl-PL" w:eastAsia="en-US"/>
        </w:rPr>
        <w:t xml:space="preserve"> 20.000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prodata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mašina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nabavne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vrednosti</w:t>
      </w:r>
      <w:r w:rsidRPr="00D66CE6">
        <w:rPr>
          <w:rFonts w:cs="Tahoma"/>
          <w:sz w:val="24"/>
          <w:szCs w:val="24"/>
          <w:lang w:val="pl-PL" w:eastAsia="en-US"/>
        </w:rPr>
        <w:t xml:space="preserve"> 30.000  </w:t>
      </w:r>
      <w:r>
        <w:rPr>
          <w:rFonts w:cs="Tahoma"/>
          <w:sz w:val="24"/>
          <w:szCs w:val="24"/>
          <w:lang w:val="sr-Cyrl-CS" w:eastAsia="en-US"/>
        </w:rPr>
        <w:t>i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akumulisane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amortizacije</w:t>
      </w:r>
      <w:r w:rsidRPr="00D66CE6">
        <w:rPr>
          <w:rFonts w:cs="Tahoma"/>
          <w:sz w:val="24"/>
          <w:szCs w:val="24"/>
          <w:lang w:val="pl-PL" w:eastAsia="en-US"/>
        </w:rPr>
        <w:t xml:space="preserve"> 14.000</w:t>
      </w:r>
      <w:r w:rsidRPr="00D66CE6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KM</w:t>
      </w:r>
      <w:r w:rsidRPr="00D66CE6">
        <w:rPr>
          <w:rFonts w:cs="Tahoma"/>
          <w:sz w:val="24"/>
          <w:szCs w:val="24"/>
          <w:lang w:val="pl-PL" w:eastAsia="en-US"/>
        </w:rPr>
        <w:t>;</w:t>
      </w:r>
    </w:p>
    <w:p w:rsidR="00D66CE6" w:rsidRPr="00D66CE6" w:rsidRDefault="00D66CE6" w:rsidP="00D66CE6">
      <w:pPr>
        <w:numPr>
          <w:ilvl w:val="0"/>
          <w:numId w:val="3"/>
        </w:numPr>
        <w:spacing w:before="60"/>
        <w:ind w:left="709" w:hanging="283"/>
        <w:jc w:val="both"/>
        <w:rPr>
          <w:rFonts w:cs="Tahoma"/>
          <w:sz w:val="24"/>
          <w:szCs w:val="24"/>
          <w:lang w:val="pl-PL" w:eastAsia="en-US"/>
        </w:rPr>
      </w:pPr>
      <w:r>
        <w:rPr>
          <w:rFonts w:cs="Tahoma"/>
          <w:sz w:val="24"/>
          <w:szCs w:val="24"/>
          <w:lang w:val="sr-Cyrl-CS" w:eastAsia="en-US"/>
        </w:rPr>
        <w:t>Izdate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obveznice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novčana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sredstva</w:t>
      </w:r>
      <w:r w:rsidRPr="00D66CE6">
        <w:rPr>
          <w:rFonts w:cs="Tahoma"/>
          <w:sz w:val="24"/>
          <w:szCs w:val="24"/>
          <w:lang w:val="pl-PL" w:eastAsia="en-US"/>
        </w:rPr>
        <w:t xml:space="preserve"> 50.000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D66CE6">
        <w:rPr>
          <w:rFonts w:cs="Tahoma"/>
          <w:sz w:val="24"/>
          <w:szCs w:val="24"/>
          <w:lang w:val="pl-PL" w:eastAsia="en-US"/>
        </w:rPr>
        <w:t>;</w:t>
      </w:r>
    </w:p>
    <w:p w:rsidR="00D66CE6" w:rsidRPr="00D66CE6" w:rsidRDefault="00D66CE6" w:rsidP="00D66CE6">
      <w:pPr>
        <w:numPr>
          <w:ilvl w:val="0"/>
          <w:numId w:val="3"/>
        </w:numPr>
        <w:spacing w:before="60"/>
        <w:ind w:left="709" w:hanging="283"/>
        <w:jc w:val="both"/>
        <w:rPr>
          <w:rFonts w:cs="Tahoma"/>
          <w:sz w:val="24"/>
          <w:szCs w:val="24"/>
          <w:lang w:val="pl-PL" w:eastAsia="en-US"/>
        </w:rPr>
      </w:pPr>
      <w:r>
        <w:rPr>
          <w:rFonts w:cs="Tahoma"/>
          <w:sz w:val="24"/>
          <w:szCs w:val="24"/>
          <w:lang w:val="sr-Cyrl-CS" w:eastAsia="en-US"/>
        </w:rPr>
        <w:t>Otplaćen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dio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glavnice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dugoročnog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kredita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D66CE6">
        <w:rPr>
          <w:rFonts w:cs="Tahoma"/>
          <w:sz w:val="24"/>
          <w:szCs w:val="24"/>
          <w:lang w:val="pl-PL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iznosu</w:t>
      </w:r>
      <w:r w:rsidRPr="00D66CE6">
        <w:rPr>
          <w:rFonts w:cs="Tahoma"/>
          <w:sz w:val="24"/>
          <w:szCs w:val="24"/>
          <w:lang w:val="pl-PL" w:eastAsia="en-US"/>
        </w:rPr>
        <w:t xml:space="preserve"> 20.000</w:t>
      </w:r>
      <w:r w:rsidRPr="00D66CE6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KM</w:t>
      </w:r>
      <w:r w:rsidRPr="00D66CE6">
        <w:rPr>
          <w:rFonts w:cs="Tahoma"/>
          <w:sz w:val="24"/>
          <w:szCs w:val="24"/>
          <w:lang w:val="pl-PL" w:eastAsia="en-US"/>
        </w:rPr>
        <w:t>;</w:t>
      </w:r>
    </w:p>
    <w:p w:rsidR="00D66CE6" w:rsidRPr="00D66CE6" w:rsidRDefault="00D66CE6" w:rsidP="00D66CE6">
      <w:pPr>
        <w:numPr>
          <w:ilvl w:val="0"/>
          <w:numId w:val="3"/>
        </w:numPr>
        <w:spacing w:before="60"/>
        <w:ind w:left="709" w:hanging="283"/>
        <w:jc w:val="both"/>
        <w:rPr>
          <w:rFonts w:cs="Tahoma"/>
          <w:sz w:val="24"/>
          <w:szCs w:val="24"/>
          <w:lang w:val="pt-BR" w:eastAsia="en-US"/>
        </w:rPr>
      </w:pPr>
      <w:r>
        <w:rPr>
          <w:rFonts w:cs="Tahoma"/>
          <w:sz w:val="24"/>
          <w:szCs w:val="24"/>
          <w:lang w:val="sr-Cyrl-CS" w:eastAsia="en-US"/>
        </w:rPr>
        <w:t>Plaćeno</w:t>
      </w:r>
      <w:r w:rsidRPr="00D66CE6">
        <w:rPr>
          <w:rFonts w:cs="Tahoma"/>
          <w:sz w:val="24"/>
          <w:szCs w:val="24"/>
          <w:lang w:val="pt-BR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D66CE6">
        <w:rPr>
          <w:rFonts w:cs="Tahoma"/>
          <w:sz w:val="24"/>
          <w:szCs w:val="24"/>
          <w:lang w:val="pt-BR" w:eastAsia="en-US"/>
        </w:rPr>
        <w:t xml:space="preserve"> 21.000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D66CE6">
        <w:rPr>
          <w:rFonts w:cs="Tahoma"/>
          <w:sz w:val="24"/>
          <w:szCs w:val="24"/>
          <w:lang w:val="pt-BR"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na</w:t>
      </w:r>
      <w:r w:rsidRPr="00D66CE6">
        <w:rPr>
          <w:rFonts w:cs="Tahoma"/>
          <w:sz w:val="24"/>
          <w:szCs w:val="24"/>
          <w:lang w:val="pt-BR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ime</w:t>
      </w:r>
      <w:r w:rsidRPr="00D66CE6">
        <w:rPr>
          <w:rFonts w:cs="Tahoma"/>
          <w:sz w:val="24"/>
          <w:szCs w:val="24"/>
          <w:lang w:val="pt-BR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dividendi</w:t>
      </w:r>
      <w:r w:rsidRPr="00D66CE6">
        <w:rPr>
          <w:rFonts w:cs="Tahoma"/>
          <w:sz w:val="24"/>
          <w:szCs w:val="24"/>
          <w:lang w:val="pt-BR" w:eastAsia="en-US"/>
        </w:rPr>
        <w:t>.</w:t>
      </w:r>
    </w:p>
    <w:p w:rsidR="00D66CE6" w:rsidRPr="00D66CE6" w:rsidRDefault="00D66CE6" w:rsidP="00D66CE6">
      <w:pPr>
        <w:tabs>
          <w:tab w:val="left" w:pos="8976"/>
        </w:tabs>
        <w:spacing w:before="40"/>
        <w:ind w:right="95"/>
        <w:rPr>
          <w:rFonts w:cs="Tahoma"/>
          <w:sz w:val="24"/>
          <w:szCs w:val="24"/>
          <w:lang w:val="it-IT" w:eastAsia="en-US"/>
        </w:rPr>
      </w:pPr>
      <w:r>
        <w:rPr>
          <w:rFonts w:cs="Tahoma"/>
          <w:sz w:val="24"/>
          <w:szCs w:val="24"/>
          <w:lang w:val="sr-Cyrl-CS" w:eastAsia="en-US"/>
        </w:rPr>
        <w:t>Na</w:t>
      </w:r>
      <w:r w:rsidRPr="00D66CE6">
        <w:rPr>
          <w:rFonts w:cs="Tahoma"/>
          <w:sz w:val="24"/>
          <w:szCs w:val="24"/>
          <w:lang w:val="fr-FR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osnovu</w:t>
      </w:r>
      <w:r w:rsidRPr="00D66CE6">
        <w:rPr>
          <w:rFonts w:cs="Tahoma"/>
          <w:sz w:val="24"/>
          <w:szCs w:val="24"/>
          <w:lang w:val="fr-FR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  <w:r w:rsidRPr="00D66CE6">
        <w:rPr>
          <w:rFonts w:cs="Tahoma"/>
          <w:sz w:val="24"/>
          <w:szCs w:val="24"/>
          <w:lang w:val="fr-FR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sastaviti</w:t>
      </w:r>
      <w:r w:rsidRPr="00D66CE6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Izveštaj</w:t>
      </w:r>
      <w:r w:rsidRPr="00D66CE6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</w:t>
      </w:r>
      <w:r w:rsidRPr="00D66CE6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tokovima</w:t>
      </w:r>
      <w:r w:rsidRPr="00D66CE6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gotovine</w:t>
      </w:r>
      <w:r w:rsidRPr="00D66CE6">
        <w:rPr>
          <w:rFonts w:cs="Tahoma"/>
          <w:sz w:val="24"/>
          <w:szCs w:val="24"/>
          <w:lang w:val="it-IT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D66CE6">
        <w:rPr>
          <w:rFonts w:cs="Tahoma"/>
          <w:sz w:val="24"/>
          <w:szCs w:val="24"/>
          <w:lang w:val="fr-FR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direktnoj</w:t>
      </w:r>
      <w:r w:rsidRPr="00D66CE6">
        <w:rPr>
          <w:rFonts w:cs="Tahoma"/>
          <w:sz w:val="24"/>
          <w:szCs w:val="24"/>
          <w:lang w:val="sr-Cyrl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metodi</w:t>
      </w:r>
      <w:r w:rsidRPr="00D66CE6">
        <w:rPr>
          <w:rFonts w:cs="Tahoma"/>
          <w:sz w:val="24"/>
          <w:szCs w:val="24"/>
          <w:lang w:val="it-IT" w:eastAsia="en-US"/>
        </w:rPr>
        <w:t xml:space="preserve">. 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  <w:r>
        <w:rPr>
          <w:rFonts w:cs="Tahoma"/>
          <w:b/>
          <w:sz w:val="24"/>
          <w:szCs w:val="24"/>
          <w:lang w:val="sr-Cyrl-RS" w:eastAsia="en-US"/>
        </w:rPr>
        <w:t>Rješenje</w:t>
      </w:r>
      <w:r w:rsidRPr="00D66CE6">
        <w:rPr>
          <w:rFonts w:cs="Tahoma"/>
          <w:b/>
          <w:sz w:val="24"/>
          <w:szCs w:val="24"/>
          <w:lang w:val="sr-Cyrl-RS" w:eastAsia="en-US"/>
        </w:rPr>
        <w:t>: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BIL</w:t>
      </w:r>
      <w:r w:rsidRPr="00D66CE6">
        <w:rPr>
          <w:rFonts w:cs="Tahoma"/>
          <w:b/>
          <w:sz w:val="24"/>
          <w:szCs w:val="24"/>
          <w:lang w:val="sr-Latn-BA" w:eastAsia="en-US"/>
        </w:rPr>
        <w:t>А</w:t>
      </w:r>
      <w:r>
        <w:rPr>
          <w:rFonts w:cs="Tahoma"/>
          <w:b/>
          <w:sz w:val="24"/>
          <w:szCs w:val="24"/>
          <w:lang w:val="sr-Latn-BA" w:eastAsia="en-US"/>
        </w:rPr>
        <w:t>NS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TOKOV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А </w:t>
      </w:r>
      <w:r>
        <w:rPr>
          <w:rFonts w:cs="Tahoma"/>
          <w:b/>
          <w:sz w:val="24"/>
          <w:szCs w:val="24"/>
          <w:lang w:val="sr-Latn-BA" w:eastAsia="en-US"/>
        </w:rPr>
        <w:t>GOTOVINE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PO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DIREKTNOM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METODU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 w:rsidRPr="00D66CE6">
        <w:rPr>
          <w:rFonts w:cs="Tahoma"/>
          <w:b/>
          <w:sz w:val="24"/>
          <w:szCs w:val="24"/>
          <w:lang w:val="sr-Latn-BA" w:eastAsia="en-US"/>
        </w:rPr>
        <w:t xml:space="preserve">А) </w:t>
      </w:r>
      <w:r>
        <w:rPr>
          <w:rFonts w:cs="Tahoma"/>
          <w:b/>
          <w:sz w:val="24"/>
          <w:szCs w:val="24"/>
          <w:lang w:val="sr-Latn-BA" w:eastAsia="en-US"/>
        </w:rPr>
        <w:t>TOKOVI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GOTOVINE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POSLOVNIH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А</w:t>
      </w:r>
      <w:r>
        <w:rPr>
          <w:rFonts w:cs="Tahoma"/>
          <w:b/>
          <w:sz w:val="24"/>
          <w:szCs w:val="24"/>
          <w:lang w:val="sr-Latn-BA" w:eastAsia="en-US"/>
        </w:rPr>
        <w:t>KTIVNOSTI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Prilivi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poslovnih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             388.000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Prilivi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od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kupaca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               388.000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Odlivi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poslovnih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                341.000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Odlivi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prema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dobavljačima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258.000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Odlivi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za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bruto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zarade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          40.000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Odlivi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za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kamate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                      2.000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Odlivi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za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porez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na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dobit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      14.000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Ostali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odlivi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iz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poslovnih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aktivnosti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27.000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Neto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novčani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tok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poslovnih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47.000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B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) </w:t>
      </w:r>
      <w:r>
        <w:rPr>
          <w:rFonts w:cs="Tahoma"/>
          <w:b/>
          <w:sz w:val="24"/>
          <w:szCs w:val="24"/>
          <w:lang w:val="sr-Latn-BA" w:eastAsia="en-US"/>
        </w:rPr>
        <w:t>TOKOVI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GOTOVINE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INVESTICIONIH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А</w:t>
      </w:r>
      <w:r>
        <w:rPr>
          <w:rFonts w:cs="Tahoma"/>
          <w:b/>
          <w:sz w:val="24"/>
          <w:szCs w:val="24"/>
          <w:lang w:val="sr-Latn-BA" w:eastAsia="en-US"/>
        </w:rPr>
        <w:t>KTIVNOSTI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Prilivi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investicionih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       20.000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Prilivi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od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prodaje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opreme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    20.000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Odlivi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investicionih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          80.000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Odlivi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za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nabavku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postrojenja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80.000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Neto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novčani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tok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investiranja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-60.000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V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) </w:t>
      </w:r>
      <w:r>
        <w:rPr>
          <w:rFonts w:cs="Tahoma"/>
          <w:b/>
          <w:sz w:val="24"/>
          <w:szCs w:val="24"/>
          <w:lang w:val="sr-Latn-BA" w:eastAsia="en-US"/>
        </w:rPr>
        <w:t>TOKOVI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GOTOVINE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А</w:t>
      </w:r>
      <w:r>
        <w:rPr>
          <w:rFonts w:cs="Tahoma"/>
          <w:b/>
          <w:sz w:val="24"/>
          <w:szCs w:val="24"/>
          <w:lang w:val="sr-Latn-BA" w:eastAsia="en-US"/>
        </w:rPr>
        <w:t>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Latn-BA" w:eastAsia="en-US"/>
        </w:rPr>
        <w:t>FIN</w:t>
      </w:r>
      <w:r w:rsidRPr="00D66CE6">
        <w:rPr>
          <w:rFonts w:cs="Tahoma"/>
          <w:b/>
          <w:sz w:val="24"/>
          <w:szCs w:val="24"/>
          <w:lang w:val="sr-Latn-BA" w:eastAsia="en-US"/>
        </w:rPr>
        <w:t>А</w:t>
      </w:r>
      <w:r>
        <w:rPr>
          <w:rFonts w:cs="Tahoma"/>
          <w:b/>
          <w:sz w:val="24"/>
          <w:szCs w:val="24"/>
          <w:lang w:val="sr-Latn-BA" w:eastAsia="en-US"/>
        </w:rPr>
        <w:t>NSIR</w:t>
      </w:r>
      <w:r w:rsidRPr="00D66CE6">
        <w:rPr>
          <w:rFonts w:cs="Tahoma"/>
          <w:b/>
          <w:sz w:val="24"/>
          <w:szCs w:val="24"/>
          <w:lang w:val="sr-Latn-BA" w:eastAsia="en-US"/>
        </w:rPr>
        <w:t>А</w:t>
      </w:r>
      <w:r>
        <w:rPr>
          <w:rFonts w:cs="Tahoma"/>
          <w:b/>
          <w:sz w:val="24"/>
          <w:szCs w:val="24"/>
          <w:lang w:val="sr-Latn-BA" w:eastAsia="en-US"/>
        </w:rPr>
        <w:t>Nj</w:t>
      </w:r>
      <w:r w:rsidRPr="00D66CE6">
        <w:rPr>
          <w:rFonts w:cs="Tahoma"/>
          <w:b/>
          <w:sz w:val="24"/>
          <w:szCs w:val="24"/>
          <w:lang w:val="sr-Latn-BA" w:eastAsia="en-US"/>
        </w:rPr>
        <w:t>А</w:t>
      </w:r>
      <w:proofErr w:type="spellEnd"/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Prilivi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finansiranja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          50.000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Prilivi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po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osnovu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izdatih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obveznica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50.000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Odlivi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finansiranja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            41.000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Otplata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dugoročnog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kredita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 20.000</w:t>
      </w:r>
    </w:p>
    <w:p w:rsidR="00D66CE6" w:rsidRPr="00D66CE6" w:rsidRDefault="00D66CE6" w:rsidP="00D66CE6">
      <w:pPr>
        <w:rPr>
          <w:rFonts w:cs="Tahoma"/>
          <w:sz w:val="24"/>
          <w:szCs w:val="24"/>
          <w:lang w:val="sr-Latn-BA" w:eastAsia="en-US"/>
        </w:rPr>
      </w:pPr>
      <w:r>
        <w:rPr>
          <w:rFonts w:cs="Tahoma"/>
          <w:sz w:val="24"/>
          <w:szCs w:val="24"/>
          <w:lang w:val="sr-Latn-BA" w:eastAsia="en-US"/>
        </w:rPr>
        <w:t>Isplata</w:t>
      </w:r>
      <w:r w:rsidRPr="00D66CE6">
        <w:rPr>
          <w:rFonts w:cs="Tahoma"/>
          <w:sz w:val="24"/>
          <w:szCs w:val="24"/>
          <w:lang w:val="sr-Latn-BA" w:eastAsia="en-US"/>
        </w:rPr>
        <w:t xml:space="preserve"> </w:t>
      </w:r>
      <w:r>
        <w:rPr>
          <w:rFonts w:cs="Tahoma"/>
          <w:sz w:val="24"/>
          <w:szCs w:val="24"/>
          <w:lang w:val="sr-Latn-BA" w:eastAsia="en-US"/>
        </w:rPr>
        <w:t>dividendi</w:t>
      </w:r>
      <w:r w:rsidRPr="00D66CE6">
        <w:rPr>
          <w:rFonts w:cs="Tahoma"/>
          <w:sz w:val="24"/>
          <w:szCs w:val="24"/>
          <w:lang w:val="sr-Latn-BA" w:eastAsia="en-US"/>
        </w:rPr>
        <w:t xml:space="preserve">                                                       21.000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Neto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novčani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tok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iz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aktivnosti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finansiranja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9.000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GOTOVIN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А </w:t>
      </w:r>
      <w:r>
        <w:rPr>
          <w:rFonts w:cs="Tahoma"/>
          <w:b/>
          <w:sz w:val="24"/>
          <w:szCs w:val="24"/>
          <w:lang w:val="sr-Latn-BA" w:eastAsia="en-US"/>
        </w:rPr>
        <w:t>N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А </w:t>
      </w:r>
      <w:r>
        <w:rPr>
          <w:rFonts w:cs="Tahoma"/>
          <w:b/>
          <w:sz w:val="24"/>
          <w:szCs w:val="24"/>
          <w:lang w:val="sr-Latn-BA" w:eastAsia="en-US"/>
        </w:rPr>
        <w:t>POČETKU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PERIOD</w:t>
      </w:r>
      <w:r w:rsidRPr="00D66CE6">
        <w:rPr>
          <w:rFonts w:cs="Tahoma"/>
          <w:b/>
          <w:sz w:val="24"/>
          <w:szCs w:val="24"/>
          <w:lang w:val="sr-Latn-BA" w:eastAsia="en-US"/>
        </w:rPr>
        <w:t>А                14.000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NETO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ODLIV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GOTOVINE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U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PERIODU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 w:rsidRPr="00D66CE6">
        <w:rPr>
          <w:rFonts w:cs="Tahoma"/>
          <w:b/>
          <w:sz w:val="24"/>
          <w:szCs w:val="24"/>
          <w:lang w:val="sr-Latn-BA" w:eastAsia="en-US"/>
        </w:rPr>
        <w:t xml:space="preserve">А + </w:t>
      </w:r>
      <w:r>
        <w:rPr>
          <w:rFonts w:cs="Tahoma"/>
          <w:b/>
          <w:sz w:val="24"/>
          <w:szCs w:val="24"/>
          <w:lang w:val="sr-Latn-BA" w:eastAsia="en-US"/>
        </w:rPr>
        <w:t>B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+ </w:t>
      </w:r>
      <w:r>
        <w:rPr>
          <w:rFonts w:cs="Tahoma"/>
          <w:b/>
          <w:sz w:val="24"/>
          <w:szCs w:val="24"/>
          <w:lang w:val="sr-Latn-BA" w:eastAsia="en-US"/>
        </w:rPr>
        <w:t>V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                                                                      (4.000)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Latn-BA" w:eastAsia="en-US"/>
        </w:rPr>
      </w:pPr>
      <w:r>
        <w:rPr>
          <w:rFonts w:cs="Tahoma"/>
          <w:b/>
          <w:sz w:val="24"/>
          <w:szCs w:val="24"/>
          <w:lang w:val="sr-Latn-BA" w:eastAsia="en-US"/>
        </w:rPr>
        <w:t>GOTOVIN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А </w:t>
      </w:r>
      <w:r>
        <w:rPr>
          <w:rFonts w:cs="Tahoma"/>
          <w:b/>
          <w:sz w:val="24"/>
          <w:szCs w:val="24"/>
          <w:lang w:val="sr-Latn-BA" w:eastAsia="en-US"/>
        </w:rPr>
        <w:t>N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А </w:t>
      </w:r>
      <w:r>
        <w:rPr>
          <w:rFonts w:cs="Tahoma"/>
          <w:b/>
          <w:sz w:val="24"/>
          <w:szCs w:val="24"/>
          <w:lang w:val="sr-Latn-BA" w:eastAsia="en-US"/>
        </w:rPr>
        <w:t>KR</w:t>
      </w:r>
      <w:r w:rsidRPr="00D66CE6">
        <w:rPr>
          <w:rFonts w:cs="Tahoma"/>
          <w:b/>
          <w:sz w:val="24"/>
          <w:szCs w:val="24"/>
          <w:lang w:val="sr-Latn-BA" w:eastAsia="en-US"/>
        </w:rPr>
        <w:t>А</w:t>
      </w:r>
      <w:r>
        <w:rPr>
          <w:rFonts w:cs="Tahoma"/>
          <w:b/>
          <w:sz w:val="24"/>
          <w:szCs w:val="24"/>
          <w:lang w:val="sr-Latn-BA" w:eastAsia="en-US"/>
        </w:rPr>
        <w:t>JU</w:t>
      </w:r>
      <w:r w:rsidRPr="00D66CE6">
        <w:rPr>
          <w:rFonts w:cs="Tahoma"/>
          <w:b/>
          <w:sz w:val="24"/>
          <w:szCs w:val="24"/>
          <w:lang w:val="sr-Latn-BA" w:eastAsia="en-US"/>
        </w:rPr>
        <w:t xml:space="preserve"> </w:t>
      </w:r>
      <w:r>
        <w:rPr>
          <w:rFonts w:cs="Tahoma"/>
          <w:b/>
          <w:sz w:val="24"/>
          <w:szCs w:val="24"/>
          <w:lang w:val="sr-Latn-BA" w:eastAsia="en-US"/>
        </w:rPr>
        <w:t>PERIOD</w:t>
      </w:r>
      <w:r w:rsidRPr="00D66CE6">
        <w:rPr>
          <w:rFonts w:cs="Tahoma"/>
          <w:b/>
          <w:sz w:val="24"/>
          <w:szCs w:val="24"/>
          <w:lang w:val="sr-Latn-BA" w:eastAsia="en-US"/>
        </w:rPr>
        <w:t>А                       10.000</w:t>
      </w:r>
    </w:p>
    <w:p w:rsidR="00D66CE6" w:rsidRPr="00D66CE6" w:rsidRDefault="00D66CE6" w:rsidP="00D66CE6">
      <w:pPr>
        <w:rPr>
          <w:rFonts w:cs="Tahoma"/>
          <w:b/>
          <w:color w:val="FF0000"/>
          <w:sz w:val="24"/>
          <w:szCs w:val="24"/>
          <w:lang w:val="sr-Latn-BA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  <w:r w:rsidRPr="00D66CE6">
        <w:rPr>
          <w:rFonts w:cs="Tahoma"/>
          <w:b/>
          <w:sz w:val="24"/>
          <w:szCs w:val="24"/>
          <w:lang w:val="sr-Cyrl-RS" w:eastAsia="en-US"/>
        </w:rPr>
        <w:br w:type="page"/>
      </w:r>
    </w:p>
    <w:p w:rsidR="00D66CE6" w:rsidRPr="00D66CE6" w:rsidRDefault="00D66CE6" w:rsidP="00D66CE6">
      <w:pPr>
        <w:jc w:val="both"/>
        <w:rPr>
          <w:rFonts w:cs="Tahoma"/>
          <w:b/>
          <w:sz w:val="24"/>
          <w:szCs w:val="24"/>
          <w:lang w:val="en-US" w:eastAsia="en-US"/>
        </w:rPr>
      </w:pPr>
      <w:r>
        <w:rPr>
          <w:rFonts w:cs="Tahoma"/>
          <w:b/>
          <w:sz w:val="24"/>
          <w:szCs w:val="24"/>
          <w:lang w:val="ru-RU" w:eastAsia="en-US"/>
        </w:rPr>
        <w:lastRenderedPageBreak/>
        <w:t>Zadatak</w:t>
      </w:r>
      <w:r w:rsidRPr="00D66CE6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broj</w:t>
      </w:r>
      <w:r w:rsidRPr="00D66CE6">
        <w:rPr>
          <w:rFonts w:cs="Tahoma"/>
          <w:b/>
          <w:sz w:val="24"/>
          <w:szCs w:val="24"/>
          <w:lang w:val="ru-RU" w:eastAsia="en-US"/>
        </w:rPr>
        <w:t xml:space="preserve"> 2</w:t>
      </w:r>
    </w:p>
    <w:p w:rsidR="00D66CE6" w:rsidRPr="00D66CE6" w:rsidRDefault="00D66CE6" w:rsidP="00D66CE6">
      <w:pPr>
        <w:spacing w:before="140" w:after="60"/>
        <w:jc w:val="both"/>
        <w:rPr>
          <w:rFonts w:cs="Tahoma"/>
          <w:b/>
          <w:bCs/>
          <w:sz w:val="24"/>
          <w:szCs w:val="24"/>
          <w:lang w:val="en-U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Izvod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iz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liste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salda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preduzeća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„</w:t>
      </w:r>
      <w:r>
        <w:rPr>
          <w:rFonts w:cs="Tahoma"/>
          <w:b/>
          <w:bCs/>
          <w:sz w:val="24"/>
          <w:szCs w:val="24"/>
          <w:lang w:val="sr-Cyrl-CS" w:eastAsia="en-US"/>
        </w:rPr>
        <w:t>PL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“ </w:t>
      </w:r>
      <w:r>
        <w:rPr>
          <w:rFonts w:cs="Tahoma"/>
          <w:b/>
          <w:bCs/>
          <w:sz w:val="24"/>
          <w:szCs w:val="24"/>
          <w:lang w:val="sr-Cyrl-CS" w:eastAsia="en-US"/>
        </w:rPr>
        <w:t>na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dan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31.12.2011. </w:t>
      </w:r>
      <w:r>
        <w:rPr>
          <w:rFonts w:cs="Tahoma"/>
          <w:b/>
          <w:bCs/>
          <w:sz w:val="24"/>
          <w:szCs w:val="24"/>
          <w:lang w:val="sr-Cyrl-CS" w:eastAsia="en-US"/>
        </w:rPr>
        <w:t>godine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dan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sljedećoj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tabeli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>:</w:t>
      </w:r>
    </w:p>
    <w:tbl>
      <w:tblPr>
        <w:tblW w:w="6602" w:type="dxa"/>
        <w:jc w:val="center"/>
        <w:tblInd w:w="-118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9"/>
        <w:gridCol w:w="1783"/>
      </w:tblGrid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40" w:after="20"/>
              <w:ind w:left="57"/>
              <w:jc w:val="both"/>
              <w:rPr>
                <w:rFonts w:cs="Tahoma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83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40" w:after="20"/>
              <w:ind w:right="170"/>
              <w:jc w:val="right"/>
              <w:rPr>
                <w:rFonts w:cs="Tahoma"/>
                <w:bCs/>
                <w:i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sz w:val="24"/>
                <w:szCs w:val="24"/>
                <w:lang w:val="en-US" w:eastAsia="en-US"/>
              </w:rPr>
              <w:t>(</w:t>
            </w:r>
            <w:r>
              <w:rPr>
                <w:rFonts w:cs="Tahoma"/>
                <w:bCs/>
                <w:sz w:val="24"/>
                <w:szCs w:val="24"/>
                <w:lang w:val="sr-Cyrl-CS" w:eastAsia="en-US"/>
              </w:rPr>
              <w:t>u</w:t>
            </w:r>
            <w:r w:rsidRPr="00D66CE6">
              <w:rPr>
                <w:rFonts w:cs="Tahoma"/>
                <w:bCs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bCs/>
                <w:sz w:val="24"/>
                <w:szCs w:val="24"/>
                <w:lang w:val="sr-Cyrl-CS" w:eastAsia="en-US"/>
              </w:rPr>
              <w:t>KM</w:t>
            </w:r>
            <w:r w:rsidRPr="00D66CE6">
              <w:rPr>
                <w:rFonts w:cs="Tahoma"/>
                <w:bCs/>
                <w:sz w:val="24"/>
                <w:szCs w:val="24"/>
                <w:lang w:val="en-US" w:eastAsia="en-US"/>
              </w:rPr>
              <w:t>)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6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Prihod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od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prodaje</w:t>
            </w:r>
          </w:p>
        </w:tc>
        <w:tc>
          <w:tcPr>
            <w:tcW w:w="1783" w:type="dxa"/>
            <w:tcBorders>
              <w:top w:val="single" w:sz="4" w:space="0" w:color="000066"/>
            </w:tcBorders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6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>450.000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6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Zalihe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6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39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Sirovine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materijal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20.000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39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Proizvodnja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toku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35.000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39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Gotovi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proizvodi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30.000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 w:line="120" w:lineRule="auto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 w:line="120" w:lineRule="auto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Nabavka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sirovina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materijala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proizvodnju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150.000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 w:line="60" w:lineRule="auto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 w:line="60" w:lineRule="auto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Plate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proizvodnje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100.000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Opšti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troškovi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proizvodnji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40.000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Plate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administracije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50.000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Zakup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kancelarija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10.000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 w:line="120" w:lineRule="auto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 w:line="120" w:lineRule="auto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5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Krajnje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vrijednosti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zaliha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39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Sirovine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materijal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15.000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39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Proizvodnja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u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toku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31.000 </w:t>
            </w:r>
          </w:p>
        </w:tc>
      </w:tr>
      <w:tr w:rsidR="00D66CE6" w:rsidRPr="00D66CE6" w:rsidTr="00295BD3">
        <w:trPr>
          <w:jc w:val="center"/>
        </w:trPr>
        <w:tc>
          <w:tcPr>
            <w:tcW w:w="4819" w:type="dxa"/>
            <w:shd w:val="clear" w:color="auto" w:fill="auto"/>
            <w:vAlign w:val="center"/>
          </w:tcPr>
          <w:p w:rsidR="00D66CE6" w:rsidRPr="00D66CE6" w:rsidRDefault="00D66CE6" w:rsidP="00D66CE6">
            <w:pPr>
              <w:spacing w:before="20"/>
              <w:ind w:left="397"/>
              <w:rPr>
                <w:rFonts w:cs="Tahoma"/>
                <w:sz w:val="24"/>
                <w:szCs w:val="24"/>
                <w:lang w:val="en-US" w:eastAsia="en-US"/>
              </w:rPr>
            </w:pPr>
            <w:r>
              <w:rPr>
                <w:rFonts w:cs="Tahoma"/>
                <w:sz w:val="24"/>
                <w:szCs w:val="24"/>
                <w:lang w:val="sr-Cyrl-CS" w:eastAsia="en-US"/>
              </w:rPr>
              <w:t>Gotovi</w:t>
            </w: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CS" w:eastAsia="en-US"/>
              </w:rPr>
              <w:t>proizvodi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66CE6" w:rsidRPr="00D66CE6" w:rsidRDefault="00D66CE6" w:rsidP="00D66CE6">
            <w:pPr>
              <w:tabs>
                <w:tab w:val="decimal" w:pos="964"/>
              </w:tabs>
              <w:spacing w:before="20"/>
              <w:ind w:right="170"/>
              <w:jc w:val="right"/>
              <w:rPr>
                <w:rFonts w:cs="Tahoma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40.000 </w:t>
            </w:r>
          </w:p>
        </w:tc>
      </w:tr>
    </w:tbl>
    <w:p w:rsidR="00D66CE6" w:rsidRPr="00D66CE6" w:rsidRDefault="00D66CE6" w:rsidP="00D66CE6">
      <w:pPr>
        <w:spacing w:before="140"/>
        <w:ind w:left="102"/>
        <w:jc w:val="both"/>
        <w:rPr>
          <w:rFonts w:cs="Tahoma"/>
          <w:bCs/>
          <w:sz w:val="24"/>
          <w:szCs w:val="24"/>
          <w:lang w:val="en-US" w:eastAsia="en-US"/>
        </w:rPr>
      </w:pPr>
      <w:r>
        <w:rPr>
          <w:rFonts w:cs="Tahoma"/>
          <w:bCs/>
          <w:sz w:val="24"/>
          <w:szCs w:val="24"/>
          <w:lang w:val="sr-Cyrl-CS" w:eastAsia="en-US"/>
        </w:rPr>
        <w:t>Stopa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poreza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na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dobit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iznosi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10%.</w:t>
      </w:r>
    </w:p>
    <w:p w:rsidR="00D66CE6" w:rsidRPr="00D66CE6" w:rsidRDefault="00D66CE6" w:rsidP="00D66CE6">
      <w:pPr>
        <w:spacing w:before="140"/>
        <w:ind w:left="102"/>
        <w:jc w:val="both"/>
        <w:rPr>
          <w:rFonts w:cs="Tahoma"/>
          <w:b/>
          <w:bCs/>
          <w:sz w:val="24"/>
          <w:szCs w:val="24"/>
          <w:lang w:val="en-U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Pripremite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bilans</w:t>
      </w:r>
      <w:r w:rsidRPr="00D66CE6">
        <w:rPr>
          <w:rFonts w:cs="Tahoma"/>
          <w:b/>
          <w:bCs/>
          <w:sz w:val="24"/>
          <w:szCs w:val="24"/>
          <w:lang w:val="sr-Cyrl-C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uspjeha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(</w:t>
      </w:r>
      <w:r>
        <w:rPr>
          <w:rFonts w:cs="Tahoma"/>
          <w:b/>
          <w:bCs/>
          <w:sz w:val="24"/>
          <w:szCs w:val="24"/>
          <w:lang w:val="sr-Cyrl-CS" w:eastAsia="en-US"/>
        </w:rPr>
        <w:t>račun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dobiti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i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gubitka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) </w:t>
      </w:r>
      <w:r>
        <w:rPr>
          <w:rFonts w:cs="Tahoma"/>
          <w:b/>
          <w:bCs/>
          <w:sz w:val="24"/>
          <w:szCs w:val="24"/>
          <w:lang w:val="sr-Cyrl-CS" w:eastAsia="en-US"/>
        </w:rPr>
        <w:t>preduzeća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 w:rsidRPr="00D66CE6">
        <w:rPr>
          <w:rFonts w:cs="Tahoma"/>
          <w:bCs/>
          <w:sz w:val="24"/>
          <w:szCs w:val="24"/>
          <w:lang w:val="en-US" w:eastAsia="en-US"/>
        </w:rPr>
        <w:t>„</w:t>
      </w:r>
      <w:r>
        <w:rPr>
          <w:rFonts w:cs="Tahoma"/>
          <w:b/>
          <w:bCs/>
          <w:sz w:val="24"/>
          <w:szCs w:val="24"/>
          <w:lang w:val="sr-Cyrl-CS" w:eastAsia="en-US"/>
        </w:rPr>
        <w:t>PL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“ </w:t>
      </w:r>
      <w:r>
        <w:rPr>
          <w:rFonts w:cs="Tahoma"/>
          <w:b/>
          <w:bCs/>
          <w:sz w:val="24"/>
          <w:szCs w:val="24"/>
          <w:lang w:val="sr-Cyrl-CS" w:eastAsia="en-US"/>
        </w:rPr>
        <w:t>za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godinu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koja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je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završila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31.12.2011.:</w:t>
      </w:r>
    </w:p>
    <w:p w:rsidR="00D66CE6" w:rsidRPr="00D66CE6" w:rsidRDefault="00D66CE6" w:rsidP="00D66CE6">
      <w:pPr>
        <w:numPr>
          <w:ilvl w:val="0"/>
          <w:numId w:val="22"/>
        </w:numPr>
        <w:spacing w:before="80"/>
        <w:ind w:left="459" w:hanging="357"/>
        <w:jc w:val="both"/>
        <w:rPr>
          <w:rFonts w:cs="Tahoma"/>
          <w:b/>
          <w:bCs/>
          <w:sz w:val="24"/>
          <w:szCs w:val="24"/>
          <w:shd w:val="clear" w:color="auto" w:fill="FFFF00"/>
          <w:lang w:val="en-U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Klasifikacijom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rashoda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prema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funkciji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, </w:t>
      </w:r>
      <w:r>
        <w:rPr>
          <w:rFonts w:cs="Tahoma"/>
          <w:bCs/>
          <w:sz w:val="24"/>
          <w:szCs w:val="24"/>
          <w:lang w:val="sr-Cyrl-CS" w:eastAsia="en-US"/>
        </w:rPr>
        <w:t>uz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prikaz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postupka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alokacije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rashoda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, </w:t>
      </w:r>
      <w:r>
        <w:rPr>
          <w:rFonts w:cs="Tahoma"/>
          <w:bCs/>
          <w:sz w:val="24"/>
          <w:szCs w:val="24"/>
          <w:lang w:val="sr-Cyrl-CS" w:eastAsia="en-US"/>
        </w:rPr>
        <w:t>ako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rashodi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administracije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rashodi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distribucije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raspoređuju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omjeru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80:20</w:t>
      </w:r>
      <w:r w:rsidRPr="00D66CE6">
        <w:rPr>
          <w:rFonts w:cs="Tahoma"/>
          <w:bCs/>
          <w:sz w:val="24"/>
          <w:szCs w:val="24"/>
          <w:lang w:val="sr-Cyrl-BA" w:eastAsia="en-US"/>
        </w:rPr>
        <w:t>,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</w:p>
    <w:p w:rsidR="00D66CE6" w:rsidRPr="00D66CE6" w:rsidRDefault="00D66CE6" w:rsidP="00D66CE6">
      <w:pPr>
        <w:numPr>
          <w:ilvl w:val="0"/>
          <w:numId w:val="22"/>
        </w:numPr>
        <w:spacing w:before="80"/>
        <w:ind w:left="459" w:hanging="357"/>
        <w:jc w:val="both"/>
        <w:rPr>
          <w:rFonts w:cs="Tahoma"/>
          <w:b/>
          <w:bCs/>
          <w:sz w:val="24"/>
          <w:szCs w:val="24"/>
          <w:shd w:val="clear" w:color="auto" w:fill="FFFF00"/>
          <w:lang w:val="en-US"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Klasifikacijom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rashoda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prema</w:t>
      </w:r>
      <w:r w:rsidRPr="00D66CE6">
        <w:rPr>
          <w:rFonts w:cs="Tahoma"/>
          <w:b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/>
          <w:bCs/>
          <w:sz w:val="24"/>
          <w:szCs w:val="24"/>
          <w:lang w:val="sr-Cyrl-CS" w:eastAsia="en-US"/>
        </w:rPr>
        <w:t>prirodi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,  </w:t>
      </w:r>
      <w:r>
        <w:rPr>
          <w:rFonts w:cs="Tahoma"/>
          <w:bCs/>
          <w:sz w:val="24"/>
          <w:szCs w:val="24"/>
          <w:lang w:val="sr-Cyrl-CS" w:eastAsia="en-US"/>
        </w:rPr>
        <w:t>uz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prikaz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postupka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izračuna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promjena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zalihama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učinaka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troškova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sirovina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i</w:t>
      </w:r>
      <w:r w:rsidRPr="00D66CE6">
        <w:rPr>
          <w:rFonts w:cs="Tahoma"/>
          <w:bCs/>
          <w:sz w:val="24"/>
          <w:szCs w:val="24"/>
          <w:lang w:val="en-US" w:eastAsia="en-US"/>
        </w:rPr>
        <w:t xml:space="preserve"> </w:t>
      </w:r>
      <w:r>
        <w:rPr>
          <w:rFonts w:cs="Tahoma"/>
          <w:bCs/>
          <w:sz w:val="24"/>
          <w:szCs w:val="24"/>
          <w:lang w:val="sr-Cyrl-CS" w:eastAsia="en-US"/>
        </w:rPr>
        <w:t>materijala</w:t>
      </w:r>
      <w:r w:rsidRPr="00D66CE6">
        <w:rPr>
          <w:rFonts w:cs="Tahoma"/>
          <w:bCs/>
          <w:sz w:val="24"/>
          <w:szCs w:val="24"/>
          <w:lang w:val="sr-Cyrl-BA" w:eastAsia="en-US"/>
        </w:rPr>
        <w:t>.</w:t>
      </w: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sr-Cyrl-RS" w:eastAsia="en-US"/>
        </w:rPr>
      </w:pPr>
      <w:r>
        <w:rPr>
          <w:rFonts w:cs="Tahoma"/>
          <w:b/>
          <w:sz w:val="24"/>
          <w:szCs w:val="24"/>
          <w:lang w:val="sr-Cyrl-RS" w:eastAsia="en-US"/>
        </w:rPr>
        <w:t>Rješenje</w:t>
      </w:r>
      <w:r w:rsidRPr="00D66CE6">
        <w:rPr>
          <w:rFonts w:cs="Tahoma"/>
          <w:b/>
          <w:sz w:val="24"/>
          <w:szCs w:val="24"/>
          <w:lang w:val="sr-Cyrl-RS" w:eastAsia="en-US"/>
        </w:rPr>
        <w:t>:</w:t>
      </w:r>
    </w:p>
    <w:p w:rsidR="00D66CE6" w:rsidRPr="00D66CE6" w:rsidRDefault="00D66CE6" w:rsidP="00D66CE6">
      <w:pPr>
        <w:numPr>
          <w:ilvl w:val="0"/>
          <w:numId w:val="24"/>
        </w:numPr>
        <w:shd w:val="clear" w:color="auto" w:fill="DAEEF3"/>
        <w:spacing w:before="140" w:after="60"/>
        <w:ind w:left="397" w:hanging="272"/>
        <w:rPr>
          <w:rFonts w:cs="Tahoma"/>
          <w:b/>
          <w:color w:val="000066"/>
          <w:sz w:val="24"/>
          <w:szCs w:val="24"/>
          <w:lang w:val="en-US" w:eastAsia="en-US"/>
        </w:rPr>
      </w:pP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Klasifikacija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rashoda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prema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funkciji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                                                          </w:t>
      </w:r>
      <w:r w:rsidRPr="00D66CE6">
        <w:rPr>
          <w:rFonts w:cs="Tahoma"/>
          <w:color w:val="000066"/>
          <w:sz w:val="24"/>
          <w:szCs w:val="24"/>
          <w:shd w:val="clear" w:color="auto" w:fill="CCFFFF"/>
          <w:lang w:val="en-US" w:eastAsia="en-US"/>
        </w:rPr>
        <w:t xml:space="preserve">(15 </w:t>
      </w:r>
      <w:proofErr w:type="spellStart"/>
      <w:r w:rsidRPr="00D66CE6">
        <w:rPr>
          <w:rFonts w:cs="Tahoma"/>
          <w:color w:val="000066"/>
          <w:sz w:val="24"/>
          <w:szCs w:val="24"/>
          <w:shd w:val="clear" w:color="auto" w:fill="CCFFFF"/>
          <w:lang w:val="en-US" w:eastAsia="en-US"/>
        </w:rPr>
        <w:t>bodova</w:t>
      </w:r>
      <w:proofErr w:type="spellEnd"/>
      <w:r w:rsidRPr="00D66CE6">
        <w:rPr>
          <w:rFonts w:cs="Tahoma"/>
          <w:color w:val="000066"/>
          <w:sz w:val="24"/>
          <w:szCs w:val="24"/>
          <w:shd w:val="clear" w:color="auto" w:fill="CCFFFF"/>
          <w:lang w:val="en-US" w:eastAsia="en-US"/>
        </w:rPr>
        <w:t>)</w:t>
      </w:r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                               </w:t>
      </w:r>
    </w:p>
    <w:p w:rsidR="00D66CE6" w:rsidRPr="00D66CE6" w:rsidRDefault="00D66CE6" w:rsidP="00D66CE6">
      <w:pPr>
        <w:spacing w:before="140" w:after="60"/>
        <w:rPr>
          <w:rFonts w:cs="Tahoma"/>
          <w:b/>
          <w:bCs/>
          <w:color w:val="000066"/>
          <w:sz w:val="24"/>
          <w:szCs w:val="24"/>
          <w:lang w:val="en-US" w:eastAsia="en-US"/>
        </w:rPr>
      </w:pPr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Postupak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alokacije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troškova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:</w:t>
      </w:r>
    </w:p>
    <w:tbl>
      <w:tblPr>
        <w:tblW w:w="9099" w:type="dxa"/>
        <w:jc w:val="center"/>
        <w:tblLook w:val="04A0" w:firstRow="1" w:lastRow="0" w:firstColumn="1" w:lastColumn="0" w:noHBand="0" w:noVBand="1"/>
      </w:tblPr>
      <w:tblGrid>
        <w:gridCol w:w="2069"/>
        <w:gridCol w:w="519"/>
        <w:gridCol w:w="2080"/>
        <w:gridCol w:w="241"/>
        <w:gridCol w:w="1185"/>
        <w:gridCol w:w="442"/>
        <w:gridCol w:w="1192"/>
        <w:gridCol w:w="314"/>
        <w:gridCol w:w="1057"/>
      </w:tblGrid>
      <w:tr w:rsidR="00D66CE6" w:rsidRPr="00D66CE6" w:rsidTr="00295BD3">
        <w:trPr>
          <w:jc w:val="center"/>
        </w:trPr>
        <w:tc>
          <w:tcPr>
            <w:tcW w:w="2682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B6DDE8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2146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B6DDE8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B6DDE8"/>
            <w:vAlign w:val="center"/>
          </w:tcPr>
          <w:p w:rsidR="00D66CE6" w:rsidRPr="00D66CE6" w:rsidRDefault="00D66CE6" w:rsidP="00D66CE6">
            <w:pPr>
              <w:spacing w:before="20"/>
              <w:ind w:left="-57" w:right="-57"/>
              <w:jc w:val="center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       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prodano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B6DDE8"/>
            <w:vAlign w:val="center"/>
          </w:tcPr>
          <w:p w:rsidR="00D66CE6" w:rsidRPr="00D66CE6" w:rsidRDefault="00D66CE6" w:rsidP="00D66CE6">
            <w:pPr>
              <w:spacing w:before="20"/>
              <w:ind w:left="-57" w:right="-57"/>
              <w:jc w:val="center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administracije</w:t>
            </w:r>
            <w:proofErr w:type="spellEnd"/>
          </w:p>
        </w:tc>
        <w:tc>
          <w:tcPr>
            <w:tcW w:w="1326" w:type="dxa"/>
            <w:gridSpan w:val="2"/>
            <w:tcBorders>
              <w:top w:val="single" w:sz="4" w:space="0" w:color="000066"/>
              <w:bottom w:val="single" w:sz="4" w:space="0" w:color="000066"/>
            </w:tcBorders>
            <w:shd w:val="clear" w:color="auto" w:fill="B6DDE8"/>
            <w:vAlign w:val="center"/>
          </w:tcPr>
          <w:p w:rsidR="00D66CE6" w:rsidRPr="00D66CE6" w:rsidRDefault="00D66CE6" w:rsidP="00D66CE6">
            <w:pPr>
              <w:spacing w:before="20"/>
              <w:ind w:left="-57" w:right="-57"/>
              <w:jc w:val="center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distribucije</w:t>
            </w:r>
            <w:proofErr w:type="spellEnd"/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  <w:tcBorders>
              <w:top w:val="single" w:sz="4" w:space="0" w:color="000066"/>
            </w:tcBorders>
          </w:tcPr>
          <w:p w:rsidR="00D66CE6" w:rsidRPr="00D66CE6" w:rsidRDefault="00D66CE6" w:rsidP="00D66CE6">
            <w:pPr>
              <w:spacing w:before="60"/>
              <w:ind w:right="-113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Početna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vrijednost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zaliha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2146" w:type="dxa"/>
            <w:tcBorders>
              <w:top w:val="single" w:sz="4" w:space="0" w:color="000066"/>
            </w:tcBorders>
            <w:shd w:val="clear" w:color="auto" w:fill="auto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Sirovine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materijal</w:t>
            </w:r>
            <w:proofErr w:type="spellEnd"/>
          </w:p>
        </w:tc>
        <w:tc>
          <w:tcPr>
            <w:tcW w:w="1415" w:type="dxa"/>
            <w:gridSpan w:val="2"/>
            <w:tcBorders>
              <w:top w:val="single" w:sz="4" w:space="0" w:color="000066"/>
            </w:tcBorders>
            <w:shd w:val="clear" w:color="auto" w:fill="auto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20.000 </w:t>
            </w:r>
          </w:p>
        </w:tc>
        <w:tc>
          <w:tcPr>
            <w:tcW w:w="1530" w:type="dxa"/>
            <w:gridSpan w:val="2"/>
            <w:tcBorders>
              <w:top w:val="single" w:sz="4" w:space="0" w:color="000066"/>
            </w:tcBorders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66"/>
            </w:tcBorders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Proizvodnja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u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toku</w:t>
            </w:r>
            <w:proofErr w:type="spellEnd"/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35.000</w:t>
            </w: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Gotovi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proizvodi</w:t>
            </w:r>
            <w:proofErr w:type="spellEnd"/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30.000</w:t>
            </w: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  <w:vAlign w:val="center"/>
          </w:tcPr>
          <w:p w:rsidR="00D66CE6" w:rsidRPr="00D66CE6" w:rsidRDefault="00D66CE6" w:rsidP="00D66CE6">
            <w:pPr>
              <w:spacing w:before="60"/>
              <w:rPr>
                <w:rFonts w:cs="Tahoma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Sirovine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i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materijal</w:t>
            </w:r>
            <w:proofErr w:type="spellEnd"/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150.000</w:t>
            </w: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Plaće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proizvodnje</w:t>
            </w:r>
            <w:proofErr w:type="spellEnd"/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100.000</w:t>
            </w: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Opći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proizvodnji</w:t>
            </w:r>
            <w:proofErr w:type="spellEnd"/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40.000</w:t>
            </w: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Plaće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administracije</w:t>
            </w:r>
            <w:proofErr w:type="spellEnd"/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40.000</w:t>
            </w: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10.000</w:t>
            </w: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Zakup</w:t>
            </w:r>
            <w:proofErr w:type="spellEnd"/>
            <w:r w:rsidRPr="00D66CE6">
              <w:rPr>
                <w:rFonts w:cs="Tahoma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sz w:val="24"/>
                <w:szCs w:val="24"/>
                <w:lang w:val="en-US" w:eastAsia="en-US"/>
              </w:rPr>
              <w:t>kancelarija</w:t>
            </w:r>
            <w:proofErr w:type="spellEnd"/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8.000</w:t>
            </w: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2.000</w:t>
            </w: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Krajnja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vrijednost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lastRenderedPageBreak/>
              <w:t>zaliha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lastRenderedPageBreak/>
              <w:t>Sirovine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lastRenderedPageBreak/>
              <w:t>materijal</w:t>
            </w:r>
            <w:proofErr w:type="spellEnd"/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6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lastRenderedPageBreak/>
              <w:t>(15.000)</w:t>
            </w: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2146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Proizvodnja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u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toku</w:t>
            </w:r>
            <w:proofErr w:type="spellEnd"/>
          </w:p>
        </w:tc>
        <w:tc>
          <w:tcPr>
            <w:tcW w:w="1415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(31.000)</w:t>
            </w: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2411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Gotovi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proizvodi</w:t>
            </w:r>
            <w:proofErr w:type="spellEnd"/>
          </w:p>
        </w:tc>
        <w:tc>
          <w:tcPr>
            <w:tcW w:w="1150" w:type="dxa"/>
            <w:tcBorders>
              <w:bottom w:val="single" w:sz="4" w:space="0" w:color="000066"/>
            </w:tcBorders>
            <w:shd w:val="clear" w:color="auto" w:fill="auto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(40.000)</w:t>
            </w:r>
          </w:p>
        </w:tc>
        <w:tc>
          <w:tcPr>
            <w:tcW w:w="449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081" w:type="dxa"/>
            <w:tcBorders>
              <w:bottom w:val="single" w:sz="4" w:space="0" w:color="000066"/>
            </w:tcBorders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32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002" w:type="dxa"/>
            <w:tcBorders>
              <w:bottom w:val="single" w:sz="4" w:space="0" w:color="000066"/>
            </w:tcBorders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2114" w:type="dxa"/>
            <w:shd w:val="clear" w:color="auto" w:fill="FFFF00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A</w:t>
            </w: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lokacija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2979" w:type="dxa"/>
            <w:gridSpan w:val="3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150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FFFF00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289.000</w:t>
            </w:r>
          </w:p>
        </w:tc>
        <w:tc>
          <w:tcPr>
            <w:tcW w:w="449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081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FFFF00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48.000</w:t>
            </w:r>
          </w:p>
        </w:tc>
        <w:tc>
          <w:tcPr>
            <w:tcW w:w="32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002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FFFF00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12.000</w:t>
            </w:r>
          </w:p>
        </w:tc>
      </w:tr>
      <w:tr w:rsidR="00D66CE6" w:rsidRPr="00D66CE6" w:rsidTr="00295BD3">
        <w:trPr>
          <w:jc w:val="center"/>
        </w:trPr>
        <w:tc>
          <w:tcPr>
            <w:tcW w:w="2682" w:type="dxa"/>
            <w:gridSpan w:val="2"/>
          </w:tcPr>
          <w:p w:rsidR="00D66CE6" w:rsidRPr="00D66CE6" w:rsidRDefault="00D66CE6" w:rsidP="00D66CE6">
            <w:pPr>
              <w:spacing w:before="20" w:line="12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2411" w:type="dxa"/>
            <w:gridSpan w:val="2"/>
            <w:shd w:val="clear" w:color="auto" w:fill="auto"/>
          </w:tcPr>
          <w:p w:rsidR="00D66CE6" w:rsidRPr="00D66CE6" w:rsidRDefault="00D66CE6" w:rsidP="00D66CE6">
            <w:pPr>
              <w:spacing w:before="20" w:line="12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150" w:type="dxa"/>
            <w:tcBorders>
              <w:top w:val="single" w:sz="4" w:space="0" w:color="000066"/>
            </w:tcBorders>
            <w:shd w:val="clear" w:color="auto" w:fill="auto"/>
          </w:tcPr>
          <w:p w:rsidR="00D66CE6" w:rsidRPr="00D66CE6" w:rsidRDefault="00D66CE6" w:rsidP="00D66CE6">
            <w:pPr>
              <w:spacing w:before="20" w:line="12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gridSpan w:val="2"/>
          </w:tcPr>
          <w:p w:rsidR="00D66CE6" w:rsidRPr="00D66CE6" w:rsidRDefault="00D66CE6" w:rsidP="00D66CE6">
            <w:pPr>
              <w:spacing w:before="20" w:line="12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326" w:type="dxa"/>
            <w:gridSpan w:val="2"/>
          </w:tcPr>
          <w:p w:rsidR="00D66CE6" w:rsidRPr="00D66CE6" w:rsidRDefault="00D66CE6" w:rsidP="00D66CE6">
            <w:pPr>
              <w:spacing w:before="20" w:line="12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</w:tbl>
    <w:p w:rsidR="00D66CE6" w:rsidRPr="00D66CE6" w:rsidRDefault="00D66CE6" w:rsidP="00D66CE6">
      <w:pPr>
        <w:spacing w:before="140" w:after="60"/>
        <w:jc w:val="center"/>
        <w:rPr>
          <w:rFonts w:cs="Tahoma"/>
          <w:b/>
          <w:bCs/>
          <w:color w:val="000066"/>
          <w:sz w:val="24"/>
          <w:szCs w:val="24"/>
          <w:lang w:val="en-US" w:eastAsia="en-US"/>
        </w:rPr>
      </w:pPr>
      <w:proofErr w:type="spellStart"/>
      <w:proofErr w:type="gram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Bilanca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uspjeha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za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godinu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koja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završava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31.12.2011.</w:t>
      </w:r>
      <w:proofErr w:type="gramEnd"/>
    </w:p>
    <w:tbl>
      <w:tblPr>
        <w:tblW w:w="9070" w:type="dxa"/>
        <w:jc w:val="center"/>
        <w:tblLook w:val="04A0" w:firstRow="1" w:lastRow="0" w:firstColumn="1" w:lastColumn="0" w:noHBand="0" w:noVBand="1"/>
      </w:tblPr>
      <w:tblGrid>
        <w:gridCol w:w="1680"/>
        <w:gridCol w:w="4385"/>
        <w:gridCol w:w="1321"/>
        <w:gridCol w:w="842"/>
        <w:gridCol w:w="842"/>
      </w:tblGrid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Prihod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450.000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prodano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(P)</w:t>
            </w:r>
          </w:p>
        </w:tc>
        <w:tc>
          <w:tcPr>
            <w:tcW w:w="1247" w:type="dxa"/>
            <w:tcBorders>
              <w:bottom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(289.000)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Bruto</w:t>
            </w:r>
            <w:proofErr w:type="spellEnd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dobit</w:t>
            </w:r>
            <w:proofErr w:type="spellEnd"/>
          </w:p>
        </w:tc>
        <w:tc>
          <w:tcPr>
            <w:tcW w:w="1247" w:type="dxa"/>
            <w:tcBorders>
              <w:top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161.000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administracije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(P)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(48.000)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distribucije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(P)</w:t>
            </w:r>
          </w:p>
        </w:tc>
        <w:tc>
          <w:tcPr>
            <w:tcW w:w="1247" w:type="dxa"/>
            <w:tcBorders>
              <w:bottom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(12.000)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Dobit</w:t>
            </w:r>
            <w:proofErr w:type="spellEnd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prije</w:t>
            </w:r>
            <w:proofErr w:type="spellEnd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poreza</w:t>
            </w:r>
            <w:proofErr w:type="spellEnd"/>
          </w:p>
        </w:tc>
        <w:tc>
          <w:tcPr>
            <w:tcW w:w="1247" w:type="dxa"/>
            <w:tcBorders>
              <w:top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101.000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Porez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dobit</w:t>
            </w:r>
            <w:proofErr w:type="spellEnd"/>
          </w:p>
        </w:tc>
        <w:tc>
          <w:tcPr>
            <w:tcW w:w="1247" w:type="dxa"/>
            <w:tcBorders>
              <w:bottom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(10.100)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Neto</w:t>
            </w:r>
            <w:proofErr w:type="spellEnd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dobit</w:t>
            </w:r>
            <w:proofErr w:type="spellEnd"/>
          </w:p>
        </w:tc>
        <w:tc>
          <w:tcPr>
            <w:tcW w:w="1247" w:type="dxa"/>
            <w:tcBorders>
              <w:top w:val="single" w:sz="4" w:space="0" w:color="000066"/>
              <w:bottom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90.900</w:t>
            </w: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</w:tbl>
    <w:p w:rsidR="00D66CE6" w:rsidRPr="00D66CE6" w:rsidRDefault="00D66CE6" w:rsidP="00D66CE6">
      <w:pPr>
        <w:numPr>
          <w:ilvl w:val="0"/>
          <w:numId w:val="24"/>
        </w:numPr>
        <w:shd w:val="clear" w:color="auto" w:fill="DAEEF3"/>
        <w:spacing w:before="260" w:after="60"/>
        <w:ind w:left="397" w:hanging="272"/>
        <w:rPr>
          <w:rFonts w:cs="Tahoma"/>
          <w:b/>
          <w:color w:val="000066"/>
          <w:sz w:val="24"/>
          <w:szCs w:val="24"/>
          <w:lang w:val="en-US" w:eastAsia="en-US"/>
        </w:rPr>
      </w:pP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Klasifikacija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rashoda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prema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>prirodi</w:t>
      </w:r>
      <w:proofErr w:type="spellEnd"/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                                                          </w:t>
      </w:r>
      <w:r w:rsidRPr="00D66CE6">
        <w:rPr>
          <w:rFonts w:cs="Tahoma"/>
          <w:color w:val="000066"/>
          <w:sz w:val="24"/>
          <w:szCs w:val="24"/>
          <w:shd w:val="clear" w:color="auto" w:fill="CCFFFF"/>
          <w:lang w:val="en-US" w:eastAsia="en-US"/>
        </w:rPr>
        <w:t xml:space="preserve">(15 </w:t>
      </w:r>
      <w:proofErr w:type="spellStart"/>
      <w:r w:rsidRPr="00D66CE6">
        <w:rPr>
          <w:rFonts w:cs="Tahoma"/>
          <w:color w:val="000066"/>
          <w:sz w:val="24"/>
          <w:szCs w:val="24"/>
          <w:shd w:val="clear" w:color="auto" w:fill="CCFFFF"/>
          <w:lang w:val="en-US" w:eastAsia="en-US"/>
        </w:rPr>
        <w:t>bodova</w:t>
      </w:r>
      <w:proofErr w:type="spellEnd"/>
      <w:r w:rsidRPr="00D66CE6">
        <w:rPr>
          <w:rFonts w:cs="Tahoma"/>
          <w:color w:val="000066"/>
          <w:sz w:val="24"/>
          <w:szCs w:val="24"/>
          <w:shd w:val="clear" w:color="auto" w:fill="CCFFFF"/>
          <w:lang w:val="en-US" w:eastAsia="en-US"/>
        </w:rPr>
        <w:t>)</w:t>
      </w:r>
      <w:r w:rsidRPr="00D66CE6">
        <w:rPr>
          <w:rFonts w:cs="Tahoma"/>
          <w:b/>
          <w:color w:val="000066"/>
          <w:sz w:val="24"/>
          <w:szCs w:val="24"/>
          <w:lang w:val="en-US" w:eastAsia="en-US"/>
        </w:rPr>
        <w:t xml:space="preserve">                                </w:t>
      </w:r>
    </w:p>
    <w:p w:rsidR="00D66CE6" w:rsidRPr="00D66CE6" w:rsidRDefault="00D66CE6" w:rsidP="00D66CE6">
      <w:pPr>
        <w:spacing w:before="140"/>
        <w:rPr>
          <w:rFonts w:cs="Tahoma"/>
          <w:b/>
          <w:bCs/>
          <w:i/>
          <w:color w:val="000066"/>
          <w:sz w:val="24"/>
          <w:szCs w:val="24"/>
          <w:lang w:val="en-US" w:eastAsia="en-US"/>
        </w:rPr>
      </w:pPr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     </w:t>
      </w:r>
      <w:proofErr w:type="spellStart"/>
      <w:r w:rsidRPr="00D66CE6">
        <w:rPr>
          <w:rFonts w:cs="Tahoma"/>
          <w:b/>
          <w:bCs/>
          <w:i/>
          <w:color w:val="000066"/>
          <w:sz w:val="24"/>
          <w:szCs w:val="24"/>
          <w:lang w:val="en-US" w:eastAsia="en-US"/>
        </w:rPr>
        <w:t>Postupci</w:t>
      </w:r>
      <w:proofErr w:type="spellEnd"/>
      <w:r w:rsidRPr="00D66CE6">
        <w:rPr>
          <w:rFonts w:cs="Tahoma"/>
          <w:b/>
          <w:bCs/>
          <w:i/>
          <w:color w:val="000066"/>
          <w:sz w:val="24"/>
          <w:szCs w:val="24"/>
          <w:lang w:val="en-US" w:eastAsia="en-US"/>
        </w:rPr>
        <w:t xml:space="preserve">: </w:t>
      </w:r>
    </w:p>
    <w:p w:rsidR="00D66CE6" w:rsidRPr="00D66CE6" w:rsidRDefault="00D66CE6" w:rsidP="00D66CE6">
      <w:pPr>
        <w:spacing w:before="140" w:after="60"/>
        <w:rPr>
          <w:rFonts w:cs="Tahoma"/>
          <w:b/>
          <w:bCs/>
          <w:color w:val="000066"/>
          <w:sz w:val="24"/>
          <w:szCs w:val="24"/>
          <w:lang w:val="en-US" w:eastAsia="en-US"/>
        </w:rPr>
      </w:pPr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                     (P1)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Promjene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u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zalihama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učinaka</w:t>
      </w:r>
      <w:proofErr w:type="spellEnd"/>
    </w:p>
    <w:tbl>
      <w:tblPr>
        <w:tblW w:w="9071" w:type="dxa"/>
        <w:jc w:val="center"/>
        <w:tblLook w:val="04A0" w:firstRow="1" w:lastRow="0" w:firstColumn="1" w:lastColumn="0" w:noHBand="0" w:noVBand="1"/>
      </w:tblPr>
      <w:tblGrid>
        <w:gridCol w:w="1701"/>
        <w:gridCol w:w="4422"/>
        <w:gridCol w:w="1247"/>
        <w:gridCol w:w="1247"/>
        <w:gridCol w:w="454"/>
      </w:tblGrid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60"/>
              <w:ind w:right="-113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Krajnja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vrijednost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zaliha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Gotovi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40.000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Proizvodnja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u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toku</w:t>
            </w:r>
            <w:proofErr w:type="spellEnd"/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31.000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 w:line="6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 w:line="6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Početna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vrijednost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zaliha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Gotovi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(30.000)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Proizvodnja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u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toku</w:t>
            </w:r>
            <w:proofErr w:type="spellEnd"/>
          </w:p>
        </w:tc>
        <w:tc>
          <w:tcPr>
            <w:tcW w:w="1247" w:type="dxa"/>
            <w:tcBorders>
              <w:bottom w:val="single" w:sz="4" w:space="0" w:color="000066"/>
            </w:tcBorders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(35.000)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 w:line="6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 w:line="6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4" w:space="0" w:color="000066"/>
            </w:tcBorders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FFFF00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Promjena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u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zalihama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učinaka</w:t>
            </w:r>
            <w:proofErr w:type="spellEnd"/>
          </w:p>
        </w:tc>
        <w:tc>
          <w:tcPr>
            <w:tcW w:w="1247" w:type="dxa"/>
            <w:tcBorders>
              <w:bottom w:val="single" w:sz="4" w:space="0" w:color="000066"/>
            </w:tcBorders>
            <w:shd w:val="clear" w:color="auto" w:fill="FFFF00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6.000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</w:tbl>
    <w:p w:rsidR="00D66CE6" w:rsidRPr="00D66CE6" w:rsidRDefault="00D66CE6" w:rsidP="00D66CE6">
      <w:pPr>
        <w:spacing w:before="140" w:after="60"/>
        <w:rPr>
          <w:rFonts w:cs="Tahoma"/>
          <w:b/>
          <w:bCs/>
          <w:color w:val="000066"/>
          <w:sz w:val="24"/>
          <w:szCs w:val="24"/>
          <w:lang w:val="en-US" w:eastAsia="en-US"/>
        </w:rPr>
      </w:pPr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 (P2)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Sirovine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i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materijal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</w:p>
    <w:tbl>
      <w:tblPr>
        <w:tblW w:w="9071" w:type="dxa"/>
        <w:jc w:val="center"/>
        <w:tblLook w:val="04A0" w:firstRow="1" w:lastRow="0" w:firstColumn="1" w:lastColumn="0" w:noHBand="0" w:noVBand="1"/>
      </w:tblPr>
      <w:tblGrid>
        <w:gridCol w:w="1701"/>
        <w:gridCol w:w="4422"/>
        <w:gridCol w:w="1247"/>
        <w:gridCol w:w="1247"/>
        <w:gridCol w:w="454"/>
      </w:tblGrid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60"/>
              <w:ind w:right="-113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Početna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vrijednost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zaliha</w:t>
            </w:r>
            <w:proofErr w:type="spellEnd"/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20.000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Nabavke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150.000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Krajnja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vrijednost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zaliha</w:t>
            </w:r>
            <w:proofErr w:type="spellEnd"/>
          </w:p>
        </w:tc>
        <w:tc>
          <w:tcPr>
            <w:tcW w:w="1247" w:type="dxa"/>
            <w:tcBorders>
              <w:bottom w:val="single" w:sz="4" w:space="0" w:color="000066"/>
            </w:tcBorders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(15.000)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 w:line="6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auto"/>
          </w:tcPr>
          <w:p w:rsidR="00D66CE6" w:rsidRPr="00D66CE6" w:rsidRDefault="00D66CE6" w:rsidP="00D66CE6">
            <w:pPr>
              <w:spacing w:before="20" w:line="60" w:lineRule="auto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4" w:space="0" w:color="000066"/>
            </w:tcBorders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 w:line="60" w:lineRule="auto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FFFF00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Trošak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sirovina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materijala</w:t>
            </w:r>
            <w:proofErr w:type="spellEnd"/>
          </w:p>
        </w:tc>
        <w:tc>
          <w:tcPr>
            <w:tcW w:w="1247" w:type="dxa"/>
            <w:tcBorders>
              <w:bottom w:val="single" w:sz="4" w:space="0" w:color="000066"/>
            </w:tcBorders>
            <w:shd w:val="clear" w:color="auto" w:fill="FFFF00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155.000</w:t>
            </w:r>
          </w:p>
        </w:tc>
        <w:tc>
          <w:tcPr>
            <w:tcW w:w="1247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</w:tbl>
    <w:p w:rsidR="00D66CE6" w:rsidRPr="00D66CE6" w:rsidRDefault="00D66CE6" w:rsidP="00D66CE6">
      <w:pPr>
        <w:spacing w:before="200" w:after="60"/>
        <w:jc w:val="center"/>
        <w:rPr>
          <w:rFonts w:cs="Tahoma"/>
          <w:b/>
          <w:bCs/>
          <w:color w:val="000066"/>
          <w:sz w:val="24"/>
          <w:szCs w:val="24"/>
          <w:lang w:val="en-US" w:eastAsia="en-US"/>
        </w:rPr>
      </w:pPr>
      <w:proofErr w:type="spellStart"/>
      <w:proofErr w:type="gram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Bilanca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uspjeha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za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godinu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koja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</w:t>
      </w:r>
      <w:proofErr w:type="spellStart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>završava</w:t>
      </w:r>
      <w:proofErr w:type="spellEnd"/>
      <w:r w:rsidRPr="00D66CE6">
        <w:rPr>
          <w:rFonts w:cs="Tahoma"/>
          <w:b/>
          <w:bCs/>
          <w:color w:val="000066"/>
          <w:sz w:val="24"/>
          <w:szCs w:val="24"/>
          <w:lang w:val="en-US" w:eastAsia="en-US"/>
        </w:rPr>
        <w:t xml:space="preserve"> 31.12.2011.</w:t>
      </w:r>
      <w:proofErr w:type="gramEnd"/>
    </w:p>
    <w:tbl>
      <w:tblPr>
        <w:tblW w:w="9071" w:type="dxa"/>
        <w:jc w:val="center"/>
        <w:tblLook w:val="04A0" w:firstRow="1" w:lastRow="0" w:firstColumn="1" w:lastColumn="0" w:noHBand="0" w:noVBand="1"/>
      </w:tblPr>
      <w:tblGrid>
        <w:gridCol w:w="1679"/>
        <w:gridCol w:w="4375"/>
        <w:gridCol w:w="1246"/>
        <w:gridCol w:w="1321"/>
        <w:gridCol w:w="450"/>
      </w:tblGrid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60"/>
              <w:ind w:right="-113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6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Prihod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450.000</w:t>
            </w: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6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Promjene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u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zalihama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učinaka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(P1)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6.000</w:t>
            </w: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sirovina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materijala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(P2)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155.000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>Opći</w:t>
            </w:r>
            <w:proofErr w:type="spellEnd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>proizvodnji</w:t>
            </w:r>
            <w:proofErr w:type="spellEnd"/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40.000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plaća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(100.000 + 50.000)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150.000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  <w:vAlign w:val="center"/>
          </w:tcPr>
          <w:p w:rsidR="00D66CE6" w:rsidRPr="00D66CE6" w:rsidRDefault="00D66CE6" w:rsidP="00D66CE6">
            <w:pPr>
              <w:spacing w:before="20"/>
              <w:rPr>
                <w:rFonts w:cs="Tahoma"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>Troškovi</w:t>
            </w:r>
            <w:proofErr w:type="spellEnd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>zakupa</w:t>
            </w:r>
            <w:proofErr w:type="spellEnd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color w:val="000066"/>
                <w:sz w:val="24"/>
                <w:szCs w:val="24"/>
                <w:lang w:val="en-US" w:eastAsia="en-US"/>
              </w:rPr>
              <w:t>kancelarija</w:t>
            </w:r>
            <w:proofErr w:type="spellEnd"/>
          </w:p>
        </w:tc>
        <w:tc>
          <w:tcPr>
            <w:tcW w:w="1247" w:type="dxa"/>
            <w:tcBorders>
              <w:bottom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10.000</w:t>
            </w: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tcBorders>
              <w:bottom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(355.000)</w:t>
            </w: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Dobit</w:t>
            </w:r>
            <w:proofErr w:type="spellEnd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prije</w:t>
            </w:r>
            <w:proofErr w:type="spellEnd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poreza</w:t>
            </w:r>
            <w:proofErr w:type="spellEnd"/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101.000</w:t>
            </w: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Porez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na</w:t>
            </w:r>
            <w:proofErr w:type="spellEnd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dobit</w:t>
            </w:r>
            <w:proofErr w:type="spellEnd"/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4" w:space="0" w:color="000066"/>
            </w:tcBorders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57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  <w:t>(10.100)</w:t>
            </w: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  <w:tr w:rsidR="00D66CE6" w:rsidRPr="00D66CE6" w:rsidTr="00295BD3">
        <w:trPr>
          <w:jc w:val="center"/>
        </w:trPr>
        <w:tc>
          <w:tcPr>
            <w:tcW w:w="1701" w:type="dxa"/>
          </w:tcPr>
          <w:p w:rsidR="00D66CE6" w:rsidRPr="00D66CE6" w:rsidRDefault="00D66CE6" w:rsidP="00D66CE6">
            <w:pPr>
              <w:spacing w:before="20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4422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Neto</w:t>
            </w:r>
            <w:proofErr w:type="spellEnd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dobit</w:t>
            </w:r>
            <w:proofErr w:type="spellEnd"/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  <w:tc>
          <w:tcPr>
            <w:tcW w:w="1247" w:type="dxa"/>
            <w:shd w:val="clear" w:color="auto" w:fill="DAEEF3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</w:pPr>
            <w:r w:rsidRPr="00D66CE6">
              <w:rPr>
                <w:rFonts w:cs="Tahoma"/>
                <w:b/>
                <w:bCs/>
                <w:color w:val="000066"/>
                <w:sz w:val="24"/>
                <w:szCs w:val="24"/>
                <w:lang w:val="en-US" w:eastAsia="en-US"/>
              </w:rPr>
              <w:t>90.900</w:t>
            </w:r>
          </w:p>
        </w:tc>
        <w:tc>
          <w:tcPr>
            <w:tcW w:w="454" w:type="dxa"/>
          </w:tcPr>
          <w:p w:rsidR="00D66CE6" w:rsidRPr="00D66CE6" w:rsidRDefault="00D66CE6" w:rsidP="00D66CE6">
            <w:pPr>
              <w:spacing w:before="20"/>
              <w:ind w:right="113"/>
              <w:jc w:val="right"/>
              <w:rPr>
                <w:rFonts w:cs="Tahoma"/>
                <w:bCs/>
                <w:color w:val="000066"/>
                <w:sz w:val="24"/>
                <w:szCs w:val="24"/>
                <w:lang w:val="en-US" w:eastAsia="en-US"/>
              </w:rPr>
            </w:pPr>
          </w:p>
        </w:tc>
      </w:tr>
    </w:tbl>
    <w:p w:rsidR="00D66CE6" w:rsidRPr="00D66CE6" w:rsidRDefault="00D66CE6" w:rsidP="00D66CE6">
      <w:pPr>
        <w:spacing w:line="120" w:lineRule="auto"/>
        <w:rPr>
          <w:rFonts w:cs="Tahoma"/>
          <w:b/>
          <w:bCs/>
          <w:color w:val="000066"/>
          <w:sz w:val="24"/>
          <w:szCs w:val="24"/>
          <w:lang w:val="en-US" w:eastAsia="en-US"/>
        </w:rPr>
      </w:pPr>
    </w:p>
    <w:p w:rsidR="00D66CE6" w:rsidRPr="00D66CE6" w:rsidRDefault="00D66CE6" w:rsidP="00D66CE6">
      <w:pPr>
        <w:rPr>
          <w:rFonts w:cs="Tahoma"/>
          <w:b/>
          <w:sz w:val="24"/>
          <w:szCs w:val="24"/>
          <w:lang w:val="en-US" w:eastAsia="en-US"/>
        </w:rPr>
      </w:pPr>
    </w:p>
    <w:p w:rsidR="00D66CE6" w:rsidRPr="00D66CE6" w:rsidRDefault="00D66CE6" w:rsidP="00D66CE6">
      <w:pPr>
        <w:rPr>
          <w:rFonts w:cs="Tahoma"/>
          <w:sz w:val="24"/>
          <w:szCs w:val="24"/>
          <w:lang w:val="en-US" w:eastAsia="en-US"/>
        </w:rPr>
      </w:pPr>
    </w:p>
    <w:sectPr w:rsidR="00D66CE6" w:rsidRPr="00D66CE6" w:rsidSect="00ED1678">
      <w:footerReference w:type="even" r:id="rId8"/>
      <w:footerReference w:type="default" r:id="rId9"/>
      <w:pgSz w:w="11906" w:h="16838" w:code="9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43E" w:rsidRDefault="00F4743E">
      <w:r>
        <w:separator/>
      </w:r>
    </w:p>
  </w:endnote>
  <w:endnote w:type="continuationSeparator" w:id="0">
    <w:p w:rsidR="00F4743E" w:rsidRDefault="00F4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678" w:rsidRDefault="00D66CE6" w:rsidP="005F48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678" w:rsidRDefault="00F4743E" w:rsidP="002A026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678" w:rsidRDefault="00D66CE6" w:rsidP="005F48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753A">
      <w:rPr>
        <w:rStyle w:val="PageNumber"/>
        <w:noProof/>
      </w:rPr>
      <w:t>9</w:t>
    </w:r>
    <w:r>
      <w:rPr>
        <w:rStyle w:val="PageNumber"/>
      </w:rPr>
      <w:fldChar w:fldCharType="end"/>
    </w:r>
  </w:p>
  <w:p w:rsidR="00ED1678" w:rsidRDefault="00F4743E" w:rsidP="002A02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43E" w:rsidRDefault="00F4743E">
      <w:r>
        <w:separator/>
      </w:r>
    </w:p>
  </w:footnote>
  <w:footnote w:type="continuationSeparator" w:id="0">
    <w:p w:rsidR="00F4743E" w:rsidRDefault="00F47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453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D16DF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BD8"/>
    <w:multiLevelType w:val="hybridMultilevel"/>
    <w:tmpl w:val="E0EA2028"/>
    <w:lvl w:ilvl="0" w:tplc="705CFF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460C75"/>
    <w:multiLevelType w:val="hybridMultilevel"/>
    <w:tmpl w:val="BB564238"/>
    <w:lvl w:ilvl="0" w:tplc="AB323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BE6D50"/>
    <w:multiLevelType w:val="hybridMultilevel"/>
    <w:tmpl w:val="BB564238"/>
    <w:lvl w:ilvl="0" w:tplc="AB323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E1028F"/>
    <w:multiLevelType w:val="hybridMultilevel"/>
    <w:tmpl w:val="BB564238"/>
    <w:lvl w:ilvl="0" w:tplc="AB323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C75B16"/>
    <w:multiLevelType w:val="hybridMultilevel"/>
    <w:tmpl w:val="679C523E"/>
    <w:lvl w:ilvl="0" w:tplc="6F6265EA">
      <w:start w:val="1"/>
      <w:numFmt w:val="lowerLetter"/>
      <w:lvlText w:val="(%1)"/>
      <w:lvlJc w:val="left"/>
      <w:pPr>
        <w:ind w:left="4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63218"/>
    <w:multiLevelType w:val="hybridMultilevel"/>
    <w:tmpl w:val="A75E6B7E"/>
    <w:lvl w:ilvl="0" w:tplc="A6904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0454B8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3167D"/>
    <w:multiLevelType w:val="hybridMultilevel"/>
    <w:tmpl w:val="CF8EF49C"/>
    <w:lvl w:ilvl="0" w:tplc="35C65A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EF0E80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7F59C8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1129F8"/>
    <w:multiLevelType w:val="hybridMultilevel"/>
    <w:tmpl w:val="A3B874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CA95C4B"/>
    <w:multiLevelType w:val="hybridMultilevel"/>
    <w:tmpl w:val="BB564238"/>
    <w:lvl w:ilvl="0" w:tplc="AB323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865834"/>
    <w:multiLevelType w:val="hybridMultilevel"/>
    <w:tmpl w:val="06F42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57669"/>
    <w:multiLevelType w:val="hybridMultilevel"/>
    <w:tmpl w:val="BB564238"/>
    <w:lvl w:ilvl="0" w:tplc="AB323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1C3C6F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92597"/>
    <w:multiLevelType w:val="hybridMultilevel"/>
    <w:tmpl w:val="BB564238"/>
    <w:lvl w:ilvl="0" w:tplc="AB323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003085"/>
    <w:multiLevelType w:val="hybridMultilevel"/>
    <w:tmpl w:val="6B980372"/>
    <w:lvl w:ilvl="0" w:tplc="A42803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406A78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184648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0A45CA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F452EF"/>
    <w:multiLevelType w:val="hybridMultilevel"/>
    <w:tmpl w:val="455C4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3B7A3B"/>
    <w:multiLevelType w:val="hybridMultilevel"/>
    <w:tmpl w:val="BB564238"/>
    <w:lvl w:ilvl="0" w:tplc="AB323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1"/>
  </w:num>
  <w:num w:numId="3">
    <w:abstractNumId w:val="12"/>
  </w:num>
  <w:num w:numId="4">
    <w:abstractNumId w:val="8"/>
  </w:num>
  <w:num w:numId="5">
    <w:abstractNumId w:val="20"/>
  </w:num>
  <w:num w:numId="6">
    <w:abstractNumId w:val="22"/>
  </w:num>
  <w:num w:numId="7">
    <w:abstractNumId w:val="0"/>
  </w:num>
  <w:num w:numId="8">
    <w:abstractNumId w:val="19"/>
  </w:num>
  <w:num w:numId="9">
    <w:abstractNumId w:val="16"/>
  </w:num>
  <w:num w:numId="10">
    <w:abstractNumId w:val="11"/>
  </w:num>
  <w:num w:numId="11">
    <w:abstractNumId w:val="1"/>
  </w:num>
  <w:num w:numId="12">
    <w:abstractNumId w:val="3"/>
  </w:num>
  <w:num w:numId="13">
    <w:abstractNumId w:val="5"/>
  </w:num>
  <w:num w:numId="14">
    <w:abstractNumId w:val="23"/>
  </w:num>
  <w:num w:numId="15">
    <w:abstractNumId w:val="2"/>
  </w:num>
  <w:num w:numId="16">
    <w:abstractNumId w:val="7"/>
  </w:num>
  <w:num w:numId="17">
    <w:abstractNumId w:val="13"/>
  </w:num>
  <w:num w:numId="18">
    <w:abstractNumId w:val="4"/>
  </w:num>
  <w:num w:numId="19">
    <w:abstractNumId w:val="18"/>
  </w:num>
  <w:num w:numId="20">
    <w:abstractNumId w:val="17"/>
  </w:num>
  <w:num w:numId="21">
    <w:abstractNumId w:val="15"/>
  </w:num>
  <w:num w:numId="22">
    <w:abstractNumId w:val="6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E6"/>
    <w:rsid w:val="00424237"/>
    <w:rsid w:val="004D4F1A"/>
    <w:rsid w:val="004D6737"/>
    <w:rsid w:val="0088753A"/>
    <w:rsid w:val="00D66CE6"/>
    <w:rsid w:val="00F4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link w:val="Heading1Char"/>
    <w:uiPriority w:val="9"/>
    <w:qFormat/>
    <w:rsid w:val="00D66CE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CE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6CE6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D66CE6"/>
    <w:rPr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66CE6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66CE6"/>
    <w:rPr>
      <w:rFonts w:ascii="Cambria" w:hAnsi="Cambria"/>
      <w:b/>
      <w:bCs/>
      <w:color w:val="4F81BD"/>
      <w:sz w:val="22"/>
      <w:szCs w:val="22"/>
      <w:lang w:eastAsia="en-US"/>
    </w:rPr>
  </w:style>
  <w:style w:type="numbering" w:customStyle="1" w:styleId="NoList1">
    <w:name w:val="No List1"/>
    <w:next w:val="NoList"/>
    <w:semiHidden/>
    <w:unhideWhenUsed/>
    <w:rsid w:val="00D66CE6"/>
  </w:style>
  <w:style w:type="paragraph" w:customStyle="1" w:styleId="pododlomak">
    <w:name w:val="pododlomak"/>
    <w:rsid w:val="00D66CE6"/>
    <w:pPr>
      <w:widowControl w:val="0"/>
      <w:tabs>
        <w:tab w:val="left" w:pos="907"/>
      </w:tabs>
      <w:autoSpaceDE w:val="0"/>
      <w:autoSpaceDN w:val="0"/>
      <w:adjustRightInd w:val="0"/>
      <w:spacing w:after="57" w:line="250" w:lineRule="atLeast"/>
      <w:ind w:left="907" w:hanging="340"/>
      <w:jc w:val="both"/>
    </w:pPr>
    <w:rPr>
      <w:rFonts w:ascii="Dotum" w:eastAsia="Dotum"/>
      <w:lang w:val="en-US" w:eastAsia="en-US"/>
    </w:rPr>
  </w:style>
  <w:style w:type="paragraph" w:styleId="Footer">
    <w:name w:val="footer"/>
    <w:basedOn w:val="Normal"/>
    <w:link w:val="FooterChar"/>
    <w:uiPriority w:val="99"/>
    <w:rsid w:val="00D66CE6"/>
    <w:pPr>
      <w:tabs>
        <w:tab w:val="center" w:pos="4703"/>
        <w:tab w:val="right" w:pos="9406"/>
      </w:tabs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66CE6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66CE6"/>
    <w:rPr>
      <w:rFonts w:cs="Times New Roman"/>
    </w:rPr>
  </w:style>
  <w:style w:type="paragraph" w:styleId="NoSpacing">
    <w:name w:val="No Spacing"/>
    <w:qFormat/>
    <w:rsid w:val="00D66CE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66CE6"/>
    <w:pPr>
      <w:ind w:left="720"/>
      <w:contextualSpacing/>
    </w:pPr>
    <w:rPr>
      <w:rFonts w:ascii="Times New Roman" w:eastAsia="MS Mincho" w:hAnsi="Times New Roman"/>
      <w:sz w:val="24"/>
      <w:szCs w:val="24"/>
      <w:lang w:val="en-US" w:eastAsia="ja-JP"/>
    </w:rPr>
  </w:style>
  <w:style w:type="paragraph" w:styleId="BodyText">
    <w:name w:val="Body Text"/>
    <w:basedOn w:val="Normal"/>
    <w:link w:val="BodyTextChar"/>
    <w:semiHidden/>
    <w:unhideWhenUsed/>
    <w:rsid w:val="00D66CE6"/>
    <w:pPr>
      <w:spacing w:after="120"/>
    </w:pPr>
    <w:rPr>
      <w:rFonts w:ascii="Times New Roman" w:hAnsi="Times New Roman"/>
      <w:sz w:val="28"/>
      <w:lang w:val="en-AU" w:eastAsia="en-US"/>
    </w:rPr>
  </w:style>
  <w:style w:type="character" w:customStyle="1" w:styleId="BodyTextChar">
    <w:name w:val="Body Text Char"/>
    <w:basedOn w:val="DefaultParagraphFont"/>
    <w:link w:val="BodyText"/>
    <w:semiHidden/>
    <w:rsid w:val="00D66CE6"/>
    <w:rPr>
      <w:sz w:val="28"/>
      <w:lang w:val="en-AU" w:eastAsia="en-US"/>
    </w:rPr>
  </w:style>
  <w:style w:type="table" w:styleId="TableGrid">
    <w:name w:val="Table Grid"/>
    <w:basedOn w:val="TableNormal"/>
    <w:rsid w:val="00D66CE6"/>
    <w:rPr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nhideWhenUsed/>
    <w:rsid w:val="00D66CE6"/>
    <w:pPr>
      <w:spacing w:after="120" w:line="48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D66CE6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6CE6"/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6CE6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66CE6"/>
    <w:rPr>
      <w:vertAlign w:val="superscript"/>
    </w:rPr>
  </w:style>
  <w:style w:type="paragraph" w:styleId="NormalWeb">
    <w:name w:val="Normal (Web)"/>
    <w:basedOn w:val="Normal"/>
    <w:link w:val="NormalWebChar"/>
    <w:rsid w:val="00D66C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ormalWebChar">
    <w:name w:val="Normal (Web) Char"/>
    <w:link w:val="NormalWeb"/>
    <w:locked/>
    <w:rsid w:val="00D66CE6"/>
    <w:rPr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D66CE6"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66CE6"/>
    <w:rPr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66CE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66CE6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customStyle="1" w:styleId="P1">
    <w:name w:val="P1"/>
    <w:rsid w:val="00D66CE6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  <w:lang w:val="en-US" w:eastAsia="en-US"/>
    </w:rPr>
  </w:style>
  <w:style w:type="paragraph" w:styleId="Header">
    <w:name w:val="header"/>
    <w:basedOn w:val="Normal"/>
    <w:link w:val="HeaderChar"/>
    <w:rsid w:val="00D66CE6"/>
    <w:pPr>
      <w:tabs>
        <w:tab w:val="center" w:pos="4153"/>
        <w:tab w:val="right" w:pos="8306"/>
      </w:tabs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66CE6"/>
    <w:rPr>
      <w:sz w:val="24"/>
      <w:szCs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D66CE6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Pa5">
    <w:name w:val="Pa5"/>
    <w:basedOn w:val="Normal"/>
    <w:next w:val="Normal"/>
    <w:rsid w:val="00D66CE6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  <w:style w:type="paragraph" w:customStyle="1" w:styleId="Pa1">
    <w:name w:val="Pa1"/>
    <w:basedOn w:val="Normal"/>
    <w:next w:val="Normal"/>
    <w:rsid w:val="00D66CE6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link w:val="Heading1Char"/>
    <w:uiPriority w:val="9"/>
    <w:qFormat/>
    <w:rsid w:val="00D66CE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CE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6CE6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D66CE6"/>
    <w:rPr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66CE6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66CE6"/>
    <w:rPr>
      <w:rFonts w:ascii="Cambria" w:hAnsi="Cambria"/>
      <w:b/>
      <w:bCs/>
      <w:color w:val="4F81BD"/>
      <w:sz w:val="22"/>
      <w:szCs w:val="22"/>
      <w:lang w:eastAsia="en-US"/>
    </w:rPr>
  </w:style>
  <w:style w:type="numbering" w:customStyle="1" w:styleId="NoList1">
    <w:name w:val="No List1"/>
    <w:next w:val="NoList"/>
    <w:semiHidden/>
    <w:unhideWhenUsed/>
    <w:rsid w:val="00D66CE6"/>
  </w:style>
  <w:style w:type="paragraph" w:customStyle="1" w:styleId="pododlomak">
    <w:name w:val="pododlomak"/>
    <w:rsid w:val="00D66CE6"/>
    <w:pPr>
      <w:widowControl w:val="0"/>
      <w:tabs>
        <w:tab w:val="left" w:pos="907"/>
      </w:tabs>
      <w:autoSpaceDE w:val="0"/>
      <w:autoSpaceDN w:val="0"/>
      <w:adjustRightInd w:val="0"/>
      <w:spacing w:after="57" w:line="250" w:lineRule="atLeast"/>
      <w:ind w:left="907" w:hanging="340"/>
      <w:jc w:val="both"/>
    </w:pPr>
    <w:rPr>
      <w:rFonts w:ascii="Dotum" w:eastAsia="Dotum"/>
      <w:lang w:val="en-US" w:eastAsia="en-US"/>
    </w:rPr>
  </w:style>
  <w:style w:type="paragraph" w:styleId="Footer">
    <w:name w:val="footer"/>
    <w:basedOn w:val="Normal"/>
    <w:link w:val="FooterChar"/>
    <w:uiPriority w:val="99"/>
    <w:rsid w:val="00D66CE6"/>
    <w:pPr>
      <w:tabs>
        <w:tab w:val="center" w:pos="4703"/>
        <w:tab w:val="right" w:pos="9406"/>
      </w:tabs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66CE6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66CE6"/>
    <w:rPr>
      <w:rFonts w:cs="Times New Roman"/>
    </w:rPr>
  </w:style>
  <w:style w:type="paragraph" w:styleId="NoSpacing">
    <w:name w:val="No Spacing"/>
    <w:qFormat/>
    <w:rsid w:val="00D66CE6"/>
    <w:rPr>
      <w:rFonts w:ascii="Calibri" w:eastAsia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66CE6"/>
    <w:pPr>
      <w:ind w:left="720"/>
      <w:contextualSpacing/>
    </w:pPr>
    <w:rPr>
      <w:rFonts w:ascii="Times New Roman" w:eastAsia="MS Mincho" w:hAnsi="Times New Roman"/>
      <w:sz w:val="24"/>
      <w:szCs w:val="24"/>
      <w:lang w:val="en-US" w:eastAsia="ja-JP"/>
    </w:rPr>
  </w:style>
  <w:style w:type="paragraph" w:styleId="BodyText">
    <w:name w:val="Body Text"/>
    <w:basedOn w:val="Normal"/>
    <w:link w:val="BodyTextChar"/>
    <w:semiHidden/>
    <w:unhideWhenUsed/>
    <w:rsid w:val="00D66CE6"/>
    <w:pPr>
      <w:spacing w:after="120"/>
    </w:pPr>
    <w:rPr>
      <w:rFonts w:ascii="Times New Roman" w:hAnsi="Times New Roman"/>
      <w:sz w:val="28"/>
      <w:lang w:val="en-AU" w:eastAsia="en-US"/>
    </w:rPr>
  </w:style>
  <w:style w:type="character" w:customStyle="1" w:styleId="BodyTextChar">
    <w:name w:val="Body Text Char"/>
    <w:basedOn w:val="DefaultParagraphFont"/>
    <w:link w:val="BodyText"/>
    <w:semiHidden/>
    <w:rsid w:val="00D66CE6"/>
    <w:rPr>
      <w:sz w:val="28"/>
      <w:lang w:val="en-AU" w:eastAsia="en-US"/>
    </w:rPr>
  </w:style>
  <w:style w:type="table" w:styleId="TableGrid">
    <w:name w:val="Table Grid"/>
    <w:basedOn w:val="TableNormal"/>
    <w:rsid w:val="00D66CE6"/>
    <w:rPr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nhideWhenUsed/>
    <w:rsid w:val="00D66CE6"/>
    <w:pPr>
      <w:spacing w:after="120" w:line="48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D66CE6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6CE6"/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6CE6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66CE6"/>
    <w:rPr>
      <w:vertAlign w:val="superscript"/>
    </w:rPr>
  </w:style>
  <w:style w:type="paragraph" w:styleId="NormalWeb">
    <w:name w:val="Normal (Web)"/>
    <w:basedOn w:val="Normal"/>
    <w:link w:val="NormalWebChar"/>
    <w:rsid w:val="00D66CE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ormalWebChar">
    <w:name w:val="Normal (Web) Char"/>
    <w:link w:val="NormalWeb"/>
    <w:locked/>
    <w:rsid w:val="00D66CE6"/>
    <w:rPr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D66CE6"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66CE6"/>
    <w:rPr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66CE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66CE6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customStyle="1" w:styleId="P1">
    <w:name w:val="P1"/>
    <w:rsid w:val="00D66CE6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  <w:lang w:val="en-US" w:eastAsia="en-US"/>
    </w:rPr>
  </w:style>
  <w:style w:type="paragraph" w:styleId="Header">
    <w:name w:val="header"/>
    <w:basedOn w:val="Normal"/>
    <w:link w:val="HeaderChar"/>
    <w:rsid w:val="00D66CE6"/>
    <w:pPr>
      <w:tabs>
        <w:tab w:val="center" w:pos="4153"/>
        <w:tab w:val="right" w:pos="8306"/>
      </w:tabs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66CE6"/>
    <w:rPr>
      <w:sz w:val="24"/>
      <w:szCs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D66CE6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Pa5">
    <w:name w:val="Pa5"/>
    <w:basedOn w:val="Normal"/>
    <w:next w:val="Normal"/>
    <w:rsid w:val="00D66CE6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  <w:style w:type="paragraph" w:customStyle="1" w:styleId="Pa1">
    <w:name w:val="Pa1"/>
    <w:basedOn w:val="Normal"/>
    <w:next w:val="Normal"/>
    <w:rsid w:val="00D66CE6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3</TotalTime>
  <Pages>9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13886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2017-05-15T14:10:00Z</dcterms:created>
  <dcterms:modified xsi:type="dcterms:W3CDTF">2017-06-07T09:58:00Z</dcterms:modified>
</cp:coreProperties>
</file>